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Rule="auto"/>
        <w:jc w:val="center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495540"/>
            <wp:effectExtent b="0" l="0" r="0" t="0"/>
            <wp:wrapTopAndBottom distB="0" distT="0"/>
            <wp:docPr descr="5fcc1a0651ef3f08881d4d8cb2ceb20e.png" id="1" name="image1.png"/>
            <a:graphic>
              <a:graphicData uri="http://schemas.openxmlformats.org/drawingml/2006/picture">
                <pic:pic>
                  <pic:nvPicPr>
                    <pic:cNvPr descr="5fcc1a0651ef3f08881d4d8cb2ceb20e.png" id="0" name="image1.png"/>
                    <pic:cNvPicPr preferRelativeResize="0"/>
                  </pic:nvPicPr>
                  <pic:blipFill>
                    <a:blip r:embed="rId6"/>
                    <a:srcRect b="25281" l="0" r="0" t="9122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495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336" w:lineRule="auto"/>
        <w:ind w:left="-1133.8582677165355" w:firstLine="0"/>
        <w:rPr/>
      </w:pPr>
      <w:r w:rsidDel="00000000" w:rsidR="00000000" w:rsidRPr="00000000">
        <w:rPr>
          <w:rFonts w:ascii="DM Sans" w:cs="DM Sans" w:eastAsia="DM Sans" w:hAnsi="DM Sans"/>
          <w:color w:val="253463"/>
          <w:rtl w:val="0"/>
        </w:rPr>
        <w:t xml:space="preserve">Designed by Charlie Barclay, Emma Griffiths and Rhiannon Cameron as part of PHA4GECon 2025 pre-conference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120" w:line="276" w:lineRule="auto"/>
        <w:ind w:left="-425.19685039370086" w:right="562.2047244094489" w:firstLine="0"/>
        <w:jc w:val="center"/>
        <w:rPr>
          <w:rFonts w:ascii="DM Sans" w:cs="DM Sans" w:eastAsia="DM Sans" w:hAnsi="DM Sans"/>
          <w:sz w:val="48"/>
          <w:szCs w:val="48"/>
        </w:rPr>
      </w:pPr>
      <w:r w:rsidDel="00000000" w:rsidR="00000000" w:rsidRPr="00000000">
        <w:rPr>
          <w:rFonts w:ascii="DM Sans" w:cs="DM Sans" w:eastAsia="DM Sans" w:hAnsi="DM Sans"/>
          <w:color w:val="000000"/>
          <w:sz w:val="48"/>
          <w:szCs w:val="48"/>
          <w:rtl w:val="0"/>
        </w:rPr>
        <w:t xml:space="preserve">PHA4GECon 2025: Scoping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0" w:line="276" w:lineRule="auto"/>
        <w:ind w:left="-566.9291338582677" w:firstLine="0"/>
        <w:jc w:val="center"/>
        <w:rPr>
          <w:rFonts w:ascii="DM Sans Light" w:cs="DM Sans Light" w:eastAsia="DM Sans Light" w:hAnsi="DM Sans Light"/>
          <w:sz w:val="14"/>
          <w:szCs w:val="14"/>
        </w:rPr>
      </w:pPr>
      <w:r w:rsidDel="00000000" w:rsidR="00000000" w:rsidRPr="00000000">
        <w:rPr>
          <w:rFonts w:ascii="DM Sans Light" w:cs="DM Sans Light" w:eastAsia="DM Sans Light" w:hAnsi="DM Sans Light"/>
          <w:i w:val="1"/>
          <w:color w:val="000000"/>
          <w:sz w:val="24"/>
          <w:szCs w:val="24"/>
          <w:rtl w:val="0"/>
        </w:rPr>
        <w:t xml:space="preserve">Defining your audience, data need and setting boundaries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276" w:lineRule="auto"/>
        <w:ind w:left="-141.73228346456688" w:firstLine="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300" w:lineRule="auto"/>
        <w:ind w:left="-141.73228346456688" w:firstLine="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template is designed to guide defining the purpose and rationale for a new standard by systematically evaluating the requirements and stakeholder need, ensuring the new standard addresses genuine gaps and has a clear well-defined scope.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276" w:lineRule="auto"/>
        <w:ind w:left="-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120" w:before="120" w:lineRule="auto"/>
        <w:ind w:left="-141.73228346456688" w:firstLine="0"/>
        <w:rPr/>
      </w:pPr>
      <w:bookmarkStart w:colFirst="0" w:colLast="0" w:name="_outgjxw382jf" w:id="0"/>
      <w:bookmarkEnd w:id="0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09">
      <w:pPr>
        <w:pStyle w:val="Heading2"/>
        <w:spacing w:after="120" w:before="120" w:line="300" w:lineRule="auto"/>
        <w:ind w:left="-141.73228346456688" w:firstLine="0"/>
        <w:rPr/>
      </w:pPr>
      <w:bookmarkStart w:colFirst="0" w:colLast="0" w:name="_zam6x9eegmgx" w:id="1"/>
      <w:bookmarkEnd w:id="1"/>
      <w:r w:rsidDel="00000000" w:rsidR="00000000" w:rsidRPr="00000000">
        <w:rPr>
          <w:rtl w:val="0"/>
        </w:rPr>
        <w:t xml:space="preserve">1.1: Problem Statement</w:t>
      </w:r>
    </w:p>
    <w:p w:rsidR="00000000" w:rsidDel="00000000" w:rsidP="00000000" w:rsidRDefault="00000000" w:rsidRPr="00000000" w14:paraId="0000000A">
      <w:pPr>
        <w:spacing w:after="120" w:before="120" w:line="300" w:lineRule="auto"/>
        <w:ind w:left="-141.7322834645668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novel pathogen, </w:t>
      </w:r>
      <w:r w:rsidDel="00000000" w:rsidR="00000000" w:rsidRPr="00000000">
        <w:rPr>
          <w:i w:val="1"/>
          <w:sz w:val="24"/>
          <w:szCs w:val="24"/>
          <w:rtl w:val="0"/>
        </w:rPr>
        <w:t xml:space="preserve">E. griffithsyi,</w:t>
      </w:r>
      <w:r w:rsidDel="00000000" w:rsidR="00000000" w:rsidRPr="00000000">
        <w:rPr>
          <w:sz w:val="24"/>
          <w:szCs w:val="24"/>
          <w:rtl w:val="0"/>
        </w:rPr>
        <w:t xml:space="preserve"> has emerged across </w:t>
      </w:r>
      <w:r w:rsidDel="00000000" w:rsidR="00000000" w:rsidRPr="00000000">
        <w:rPr>
          <w:b w:val="1"/>
          <w:sz w:val="24"/>
          <w:szCs w:val="24"/>
          <w:rtl w:val="0"/>
        </w:rPr>
        <w:t xml:space="preserve">multiple regions</w:t>
      </w:r>
      <w:r w:rsidDel="00000000" w:rsidR="00000000" w:rsidRPr="00000000">
        <w:rPr>
          <w:sz w:val="24"/>
          <w:szCs w:val="24"/>
          <w:rtl w:val="0"/>
        </w:rPr>
        <w:t xml:space="preserve">, with indications of both </w:t>
      </w:r>
      <w:r w:rsidDel="00000000" w:rsidR="00000000" w:rsidRPr="00000000">
        <w:rPr>
          <w:b w:val="1"/>
          <w:sz w:val="24"/>
          <w:szCs w:val="24"/>
          <w:rtl w:val="0"/>
        </w:rPr>
        <w:t xml:space="preserve">human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environmental </w:t>
      </w:r>
      <w:r w:rsidDel="00000000" w:rsidR="00000000" w:rsidRPr="00000000">
        <w:rPr>
          <w:sz w:val="24"/>
          <w:szCs w:val="24"/>
          <w:rtl w:val="0"/>
        </w:rPr>
        <w:t xml:space="preserve">transmission. There is currently no widely used data standard to capture contextual information (clinical, epidemiological, and environmental) required to support early genomic surveillance and outbreak investigation.</w:t>
      </w:r>
    </w:p>
    <w:p w:rsidR="00000000" w:rsidDel="00000000" w:rsidP="00000000" w:rsidRDefault="00000000" w:rsidRPr="00000000" w14:paraId="0000000B">
      <w:pPr>
        <w:spacing w:after="120" w:before="120" w:line="300" w:lineRule="auto"/>
        <w:ind w:left="-141.7322834645668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Existing laboratory systems and surveillance databases capture fragmented contextual data that </w:t>
      </w:r>
      <w:r w:rsidDel="00000000" w:rsidR="00000000" w:rsidRPr="00000000">
        <w:rPr>
          <w:b w:val="1"/>
          <w:sz w:val="24"/>
          <w:szCs w:val="24"/>
          <w:rtl w:val="0"/>
        </w:rPr>
        <w:t xml:space="preserve">lacks integration </w:t>
      </w:r>
      <w:r w:rsidDel="00000000" w:rsidR="00000000" w:rsidRPr="00000000">
        <w:rPr>
          <w:sz w:val="24"/>
          <w:szCs w:val="24"/>
          <w:rtl w:val="0"/>
        </w:rPr>
        <w:t xml:space="preserve">across clinical and environmental domains. This has resulted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inconsistent data sharing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elayed responsed </w:t>
      </w:r>
      <w:r w:rsidDel="00000000" w:rsidR="00000000" w:rsidRPr="00000000">
        <w:rPr>
          <w:sz w:val="24"/>
          <w:szCs w:val="24"/>
          <w:rtl w:val="0"/>
        </w:rPr>
        <w:t xml:space="preserve">of this emerging pandemic.</w:t>
      </w:r>
    </w:p>
    <w:p w:rsidR="00000000" w:rsidDel="00000000" w:rsidP="00000000" w:rsidRDefault="00000000" w:rsidRPr="00000000" w14:paraId="0000000C">
      <w:pPr>
        <w:spacing w:after="120" w:before="120" w:line="300" w:lineRule="auto"/>
        <w:ind w:left="-141.7322834645668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after="120" w:before="120" w:line="300" w:lineRule="auto"/>
        <w:ind w:left="-141.73228346456688" w:firstLine="0"/>
        <w:rPr>
          <w:color w:val="000000"/>
          <w:sz w:val="24"/>
          <w:szCs w:val="24"/>
        </w:rPr>
      </w:pPr>
      <w:bookmarkStart w:colFirst="0" w:colLast="0" w:name="_nrpt0b6jmh4z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1.2 Requirement for a new standard</w:t>
      </w:r>
    </w:p>
    <w:p w:rsidR="00000000" w:rsidDel="00000000" w:rsidP="00000000" w:rsidRDefault="00000000" w:rsidRPr="00000000" w14:paraId="0000000E">
      <w:pPr>
        <w:spacing w:after="120" w:before="12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Existing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0"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MIxS (Genomic Standards Consortium): general but lacks additional information required to facilitate both clinical and environmental sample collection.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CanCOGeN COVID-19 specification: clinical focus only.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PHES-ODM: targeted for SARS-CoV-2 pathogen and PCR data.</w:t>
      </w:r>
    </w:p>
    <w:p w:rsidR="00000000" w:rsidDel="00000000" w:rsidP="00000000" w:rsidRDefault="00000000" w:rsidRPr="00000000" w14:paraId="00000012">
      <w:pPr>
        <w:spacing w:after="120" w:before="120" w:line="3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Identified gaps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before="0"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schema combining human clinical, environmental, and sequencing metadata.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before="0"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Limited fields for infection source tracing (e.g., surface, wastewater, vector).</w:t>
      </w:r>
    </w:p>
    <w:p w:rsidR="00000000" w:rsidDel="00000000" w:rsidP="00000000" w:rsidRDefault="00000000" w:rsidRPr="00000000" w14:paraId="00000015">
      <w:pPr>
        <w:spacing w:after="0" w:before="0" w:line="3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after="120" w:before="120" w:line="300" w:lineRule="auto"/>
        <w:ind w:left="-141.73228346456688" w:firstLine="0"/>
        <w:rPr/>
      </w:pPr>
      <w:bookmarkStart w:colFirst="0" w:colLast="0" w:name="_k9uxbzpsrz51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1.3 Defining the boundaries: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120" w:line="300" w:lineRule="auto"/>
        <w:ind w:left="-141.7322834645668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In-scope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before="0"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elements from specimen collection through sequencing. 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before="0"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Human and environmental samples linked to outbreak or surveillance activities.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before="0"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Core contextual data: sampling event, host/exposure details, sequencing metadata, QC.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before="0"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Interoperable exports to INSDC BioSample, ENA, and GISAID formats.</w:t>
      </w:r>
    </w:p>
    <w:p w:rsidR="00000000" w:rsidDel="00000000" w:rsidP="00000000" w:rsidRDefault="00000000" w:rsidRPr="00000000" w14:paraId="0000001C">
      <w:pPr>
        <w:spacing w:after="120" w:before="120" w:line="300" w:lineRule="auto"/>
        <w:ind w:left="-141.7322834645668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ut-of-scope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before="0"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clinical health records or patient identifiers.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before="0"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management, diagnostic treatment outcomes, or contact tracing datasets.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before="0"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Analysis results</w:t>
      </w:r>
    </w:p>
    <w:p w:rsidR="00000000" w:rsidDel="00000000" w:rsidP="00000000" w:rsidRDefault="00000000" w:rsidRPr="00000000" w14:paraId="00000020">
      <w:pPr>
        <w:spacing w:after="120" w:before="120" w:line="300" w:lineRule="auto"/>
        <w:ind w:left="-141.7322834645668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120" w:before="120" w:line="300" w:lineRule="auto"/>
        <w:ind w:left="-141.73228346456688" w:firstLine="0"/>
        <w:rPr/>
      </w:pPr>
      <w:bookmarkStart w:colFirst="0" w:colLast="0" w:name="_xy5ifxa5g7c5" w:id="4"/>
      <w:bookmarkEnd w:id="4"/>
      <w:r w:rsidDel="00000000" w:rsidR="00000000" w:rsidRPr="00000000">
        <w:rPr>
          <w:rtl w:val="0"/>
        </w:rPr>
        <w:t xml:space="preserve">Stakeholders and Audience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after="120" w:before="120" w:line="300" w:lineRule="auto"/>
        <w:ind w:left="-141.73228346456688" w:firstLine="0"/>
        <w:rPr/>
      </w:pPr>
      <w:bookmarkStart w:colFirst="0" w:colLast="0" w:name="_rsgvh6gl1gow" w:id="5"/>
      <w:bookmarkEnd w:id="5"/>
      <w:r w:rsidDel="00000000" w:rsidR="00000000" w:rsidRPr="00000000">
        <w:rPr>
          <w:rtl w:val="0"/>
        </w:rPr>
        <w:t xml:space="preserve">2.1 Define the key stakeholders</w:t>
      </w:r>
    </w:p>
    <w:p w:rsidR="00000000" w:rsidDel="00000000" w:rsidP="00000000" w:rsidRDefault="00000000" w:rsidRPr="00000000" w14:paraId="00000023">
      <w:pPr>
        <w:spacing w:after="120" w:before="120" w:line="300" w:lineRule="auto"/>
        <w:ind w:left="-141.7322834645668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0"/>
        <w:gridCol w:w="3330"/>
        <w:gridCol w:w="2730"/>
        <w:tblGridChange w:id="0">
          <w:tblGrid>
            <w:gridCol w:w="1860"/>
            <w:gridCol w:w="3330"/>
            <w:gridCol w:w="273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120" w:before="120" w:line="3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Stakeholder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120" w:before="120" w:line="3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Role / Contribution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120" w:before="120" w:line="3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Produced or Used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120" w:before="120" w:line="3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 Health Labs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120" w:before="120" w:line="3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Surveillance, sequencing, variant detection, QC reporting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120" w:before="120" w:line="3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Sample metadata, sequencing data, QC metrics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120" w:before="120" w:line="3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Clinical Researchers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120" w:before="120" w:line="3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Investigate host–pathogen interactions, phylogenetic and epidemiological analyses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120" w:before="120" w:line="3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Clinical context, sampling strategy, analytical metadata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120" w:before="120" w:line="3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Environmental Monitoring Teams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120" w:before="120" w:line="3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 and process wastewater and environmental samples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120" w:before="120" w:line="3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Sampling site metadata, environmental measurements</w:t>
            </w:r>
          </w:p>
        </w:tc>
      </w:tr>
    </w:tbl>
    <w:p w:rsidR="00000000" w:rsidDel="00000000" w:rsidP="00000000" w:rsidRDefault="00000000" w:rsidRPr="00000000" w14:paraId="00000030">
      <w:pPr>
        <w:spacing w:after="120" w:before="120" w:line="300" w:lineRule="auto"/>
        <w:ind w:left="-141.7322834645668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before="120" w:line="300" w:lineRule="auto"/>
        <w:ind w:left="-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120" w:before="120" w:line="300" w:lineRule="auto"/>
        <w:ind w:left="-141.73228346456688" w:firstLine="0"/>
        <w:rPr/>
      </w:pPr>
      <w:bookmarkStart w:colFirst="0" w:colLast="0" w:name="_wly2uwuwgb1" w:id="6"/>
      <w:bookmarkEnd w:id="6"/>
      <w:r w:rsidDel="00000000" w:rsidR="00000000" w:rsidRPr="00000000">
        <w:rPr>
          <w:rtl w:val="0"/>
        </w:rPr>
        <w:t xml:space="preserve">Preliminary Standards Review</w:t>
      </w:r>
    </w:p>
    <w:p w:rsidR="00000000" w:rsidDel="00000000" w:rsidP="00000000" w:rsidRDefault="00000000" w:rsidRPr="00000000" w14:paraId="00000033">
      <w:pPr>
        <w:pStyle w:val="Heading2"/>
        <w:spacing w:after="120" w:before="120" w:line="300" w:lineRule="auto"/>
        <w:ind w:left="-141.73228346456688" w:firstLine="0"/>
        <w:rPr/>
      </w:pPr>
      <w:bookmarkStart w:colFirst="0" w:colLast="0" w:name="_usn359wecnvf" w:id="7"/>
      <w:bookmarkEnd w:id="7"/>
      <w:r w:rsidDel="00000000" w:rsidR="00000000" w:rsidRPr="00000000">
        <w:rPr>
          <w:rtl w:val="0"/>
        </w:rPr>
        <w:t xml:space="preserve">3.1 Existing Standards</w:t>
      </w:r>
    </w:p>
    <w:p w:rsidR="00000000" w:rsidDel="00000000" w:rsidP="00000000" w:rsidRDefault="00000000" w:rsidRPr="00000000" w14:paraId="00000034">
      <w:pPr>
        <w:spacing w:after="120" w:before="120" w:line="300" w:lineRule="auto"/>
        <w:ind w:left="-141.7322834645668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MIxS. PHA4GE SARS-CoV-2, CanCOGeN, PHES-ODM</w:t>
      </w:r>
    </w:p>
    <w:p w:rsidR="00000000" w:rsidDel="00000000" w:rsidP="00000000" w:rsidRDefault="00000000" w:rsidRPr="00000000" w14:paraId="00000035">
      <w:pPr>
        <w:spacing w:after="120" w:before="120" w:line="300" w:lineRule="auto"/>
        <w:ind w:left="-141.7322834645668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spacing w:after="120" w:before="120" w:line="300" w:lineRule="auto"/>
        <w:ind w:left="-141.73228346456688" w:firstLine="0"/>
        <w:rPr/>
      </w:pPr>
      <w:bookmarkStart w:colFirst="0" w:colLast="0" w:name="_w9dbuw60aw06" w:id="8"/>
      <w:bookmarkEnd w:id="8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.2 Identify common data elements</w:t>
      </w:r>
    </w:p>
    <w:p w:rsidR="00000000" w:rsidDel="00000000" w:rsidP="00000000" w:rsidRDefault="00000000" w:rsidRPr="00000000" w14:paraId="00000037">
      <w:pPr>
        <w:spacing w:after="120" w:before="12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Across standards: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120" w:before="120" w:line="30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sample 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collection 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geo location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organism/taxon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purpose of sampling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sequencing instrument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QC method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after="120" w:before="120" w:line="300" w:lineRule="auto"/>
        <w:ind w:left="-141.7322834645668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pacing w:after="120" w:before="120" w:line="300" w:lineRule="auto"/>
        <w:ind w:left="-141.73228346456688" w:firstLine="0"/>
        <w:rPr/>
      </w:pPr>
      <w:bookmarkStart w:colFirst="0" w:colLast="0" w:name="_8vu49v67dw0g" w:id="9"/>
      <w:bookmarkEnd w:id="9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.3 Missing data elements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Environmental context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host exposure linkages within a single record.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receipt and chain-of-custody metadata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Versioned metadata for rapid updates during outbreak events.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before="120" w:line="276" w:lineRule="auto"/>
        <w:ind w:left="-141.73228346456688" w:firstLine="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before="120" w:line="276" w:lineRule="auto"/>
        <w:ind w:left="-141.73228346456688" w:firstLine="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before="120" w:line="276" w:lineRule="auto"/>
        <w:ind w:left="-141.73228346456688" w:firstLine="0"/>
        <w:jc w:val="center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before="120" w:line="276" w:lineRule="auto"/>
        <w:ind w:left="-141.73228346456688" w:firstLine="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before="120" w:line="276" w:lineRule="auto"/>
        <w:ind w:left="-141.73228346456688" w:firstLine="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before="120" w:line="276" w:lineRule="auto"/>
        <w:ind w:left="-141.73228346456688" w:firstLine="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before="120" w:line="33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45" w:w="11910" w:orient="portrait"/>
      <w:pgMar w:bottom="1440" w:top="1440" w:left="1440" w:right="832.2047244094489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M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M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spacing w:after="120" w:before="120" w:lineRule="auto"/>
      <w:ind w:left="-141.73228346456688" w:firstLine="0"/>
      <w:jc w:val="center"/>
      <w:rPr/>
    </w:pPr>
    <w:r w:rsidDel="00000000" w:rsidR="00000000" w:rsidRPr="00000000">
      <w:rPr>
        <w:rFonts w:ascii="DM Sans" w:cs="DM Sans" w:eastAsia="DM Sans" w:hAnsi="DM Sans"/>
        <w:color w:val="737373"/>
        <w:rtl w:val="0"/>
      </w:rPr>
      <w:t xml:space="preserve">PHA4GECon 2025: Scope v1.0</w:t>
      <w:tab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Light-regular.ttf"/><Relationship Id="rId2" Type="http://schemas.openxmlformats.org/officeDocument/2006/relationships/font" Target="fonts/DMSansLight-bold.ttf"/><Relationship Id="rId3" Type="http://schemas.openxmlformats.org/officeDocument/2006/relationships/font" Target="fonts/DMSansLight-italic.ttf"/><Relationship Id="rId4" Type="http://schemas.openxmlformats.org/officeDocument/2006/relationships/font" Target="fonts/DMSansLight-boldItalic.ttf"/><Relationship Id="rId5" Type="http://schemas.openxmlformats.org/officeDocument/2006/relationships/font" Target="fonts/DMSans-regular.ttf"/><Relationship Id="rId6" Type="http://schemas.openxmlformats.org/officeDocument/2006/relationships/font" Target="fonts/DMSans-bold.ttf"/><Relationship Id="rId7" Type="http://schemas.openxmlformats.org/officeDocument/2006/relationships/font" Target="fonts/DMSans-italic.ttf"/><Relationship Id="rId8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