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="331.2" w:lineRule="auto"/>
        <w:rPr>
          <w:b w:val="1"/>
          <w:bCs w:val="1"/>
          <w:color w:val="0f2c59"/>
          <w:sz w:val="35"/>
          <w:szCs w:val="35"/>
        </w:rPr>
      </w:pPr>
      <w:r w:rsidDel="00000000" w:rsidR="00000000" w:rsidRPr="00000000">
        <w:rPr>
          <w:b w:val="1"/>
          <w:bCs w:val="1"/>
          <w:color w:val="0f2c59"/>
          <w:sz w:val="35"/>
          <w:szCs w:val="35"/>
          <w:rtl w:val="0"/>
        </w:rPr>
        <w:t xml:space="preserve">Conjunto Reduzido de Features </w:t>
      </w:r>
    </w:p>
    <w:p w:rsidR="00000000" w:rsidDel="00000000" w:rsidP="00000000" w:rsidRDefault="00000000" w:rsidRPr="00000000" w14:paraId="00000002">
      <w:pPr>
        <w:spacing w:after="10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validar a corretude lógica da arquitetura em hardware, a Prova de Conceito (PoC) focará na extração inline de exatamente seis features volumétricas, temporais e de magnitude, que não exigem operações lógicas ou aritméticas complexas: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="331.2" w:lineRule="auto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="331.2" w:lineRule="auto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="331.2" w:lineRule="auto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 que representa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c5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="331.2" w:lineRule="auto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Implementação em Silício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flow_key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Chave indexadora de 5-upla: {src_ip, dst_ip, src_port, dst_port, protocol}.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Concatenador de barramento síncrono a partir da FSM do Parser.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packet_count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Contagem acumulada de pacotes observados no uniflow.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Contador síncrono incremental simples (+1) na BRAM.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total_length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Volume acumulado em bytes transmitidos na conexão.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Acumulador síncrono de largura de barramento (+packet_length).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Tempo total transcorrido desde o primeiro pacote de fluxo.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Subtração combinacional (last_ts - first_ts) no finalizador.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min_packet_length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Menor tamanho físico de frame Ethernet observado no fluxo.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Comparador lógico de magnitude em estágio síncrono.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max_packet_length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Maior tamanho físico de frame Ethernet observado no fluxo.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Comparador lógico de magnitude em estágio síncrono.</w:t>
            </w:r>
          </w:p>
        </w:tc>
      </w:tr>
    </w:tbl>
    <w:p w:rsidR="00000000" w:rsidDel="00000000" w:rsidP="00000000" w:rsidRDefault="00000000" w:rsidRPr="00000000" w14:paraId="0000001F">
      <w:pPr>
        <w:spacing w:after="18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60" w:before="180" w:line="331.2" w:lineRule="auto"/>
        <w:rPr>
          <w:b w:val="1"/>
          <w:bCs w:val="1"/>
          <w:color w:val="2980b9"/>
          <w:sz w:val="27"/>
          <w:szCs w:val="27"/>
        </w:rPr>
      </w:pPr>
      <w:r w:rsidDel="00000000" w:rsidR="00000000" w:rsidRPr="00000000">
        <w:rPr>
          <w:b w:val="1"/>
          <w:bCs w:val="1"/>
          <w:color w:val="2980b9"/>
          <w:sz w:val="27"/>
          <w:szCs w:val="27"/>
          <w:rtl w:val="0"/>
        </w:rPr>
        <w:t xml:space="preserve">4.1 Justificativa da Escolha</w:t>
      </w:r>
    </w:p>
    <w:p w:rsidR="00000000" w:rsidDel="00000000" w:rsidP="00000000" w:rsidRDefault="00000000" w:rsidRPr="00000000" w14:paraId="00000021">
      <w:pPr>
        <w:spacing w:after="10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conjunto de seis features constitui a Prova de Conceito ideal por duas razões principais:</w:t>
      </w:r>
    </w:p>
    <w:p w:rsidR="00000000" w:rsidDel="00000000" w:rsidP="00000000" w:rsidRDefault="00000000" w:rsidRPr="00000000" w14:paraId="00000022">
      <w:pPr>
        <w:spacing w:after="60" w:line="331.2" w:lineRule="auto"/>
        <w:ind w:left="280" w:firstLine="0"/>
        <w:rPr>
          <w:sz w:val="26"/>
          <w:szCs w:val="26"/>
        </w:rPr>
      </w:pPr>
      <w:r w:rsidDel="00000000" w:rsidR="00000000" w:rsidRPr="00000000">
        <w:rPr>
          <w:sz w:val="27"/>
          <w:szCs w:val="27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Não exige acesso ao payload, garantindo operação em canais criptografados modernos.</w:t>
      </w:r>
    </w:p>
    <w:p w:rsidR="00000000" w:rsidDel="00000000" w:rsidP="00000000" w:rsidRDefault="00000000" w:rsidRPr="00000000" w14:paraId="00000023">
      <w:pPr>
        <w:spacing w:after="60" w:line="331.2" w:lineRule="auto"/>
        <w:ind w:left="280" w:firstLine="0"/>
        <w:rPr>
          <w:sz w:val="26"/>
          <w:szCs w:val="26"/>
        </w:rPr>
      </w:pPr>
      <w:r w:rsidDel="00000000" w:rsidR="00000000" w:rsidRPr="00000000">
        <w:rPr>
          <w:sz w:val="27"/>
          <w:szCs w:val="27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É estritamente livre de operadores aritméticos de divisão e raiz quadrada na pipeline síncrona, viabilizando frequências de clock elevadas e garantindo o timing closure no Vivado HLS.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280" w:line="331.2" w:lineRule="auto"/>
        <w:rPr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Redução para Quatro Trabalhos Acadêmicos Principais</w:t>
      </w:r>
    </w:p>
    <w:p w:rsidR="00000000" w:rsidDel="00000000" w:rsidP="00000000" w:rsidRDefault="00000000" w:rsidRPr="00000000" w14:paraId="00000026">
      <w:pPr>
        <w:spacing w:after="180" w:line="331.2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A argumentação será baseada no cruzamento crítico de quatro publicações consagradas na literatura internacional:</w:t>
      </w:r>
    </w:p>
    <w:p w:rsidR="00000000" w:rsidDel="00000000" w:rsidP="00000000" w:rsidRDefault="00000000" w:rsidRPr="00000000" w14:paraId="00000027">
      <w:pPr>
        <w:spacing w:after="60" w:line="331.2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17"/>
          <w:szCs w:val="17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Umer et al. (2017): 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Estabelece a transição teórica do DPI clássico (inspeção profunda de payload) para a análise comportamental baseada em fluxo (flow-based stateful), fundamentando a inviabilidade do DPI em redes criptografadas (QUIC, TLS 1.3) e introduzindo o trade-off de recursos associado ao tamanho do vetor de features.</w:t>
      </w:r>
    </w:p>
    <w:p w:rsidR="00000000" w:rsidDel="00000000" w:rsidP="00000000" w:rsidRDefault="00000000" w:rsidRPr="00000000" w14:paraId="00000028">
      <w:pPr>
        <w:spacing w:after="60" w:line="331.2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17"/>
          <w:szCs w:val="17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Viegas et al. (2020): 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Mede fisicamente o consumo elétrico e recursos lógicos de extração em hardware (FPGAs/SmartNICs), provando por algoritmos genéticos (NSGA-II) que a priorização de contadores e metadados lúdicos de fluxo gera até 51,7% de economia de energia com perdas irrisórias de acurácia (0,90%), além de propor slots circulares de tempo para otimização de BRAM.</w:t>
      </w:r>
    </w:p>
    <w:p w:rsidR="00000000" w:rsidDel="00000000" w:rsidP="00000000" w:rsidRDefault="00000000" w:rsidRPr="00000000" w14:paraId="00000029">
      <w:pPr>
        <w:spacing w:after="60" w:line="331.2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17"/>
          <w:szCs w:val="17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Akem et al. (NOMS 2024): 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Demonstra de forma experimental em switches programáveis a line-rate que características baseadas em comprimento físico de pacotes e tempos de tráfego são imunes a criptografias de ponta, atingindo acurácias de até 95,3% a velocidades de linha com apenas 4 a 5 features selecionadas via importância de impureza (MDI).</w:t>
      </w:r>
    </w:p>
    <w:p w:rsidR="00000000" w:rsidDel="00000000" w:rsidP="00000000" w:rsidRDefault="00000000" w:rsidRPr="00000000" w14:paraId="0000002A">
      <w:pPr>
        <w:spacing w:after="180" w:line="331.2" w:lineRule="auto"/>
        <w:rPr>
          <w:b w:val="1"/>
          <w:bCs w:val="1"/>
          <w:color w:val="0f2c59"/>
          <w:sz w:val="35"/>
          <w:szCs w:val="35"/>
        </w:rPr>
      </w:pPr>
      <w:r w:rsidDel="00000000" w:rsidR="00000000" w:rsidRPr="00000000">
        <w:rPr>
          <w:color w:val="333333"/>
          <w:sz w:val="17"/>
          <w:szCs w:val="17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Kılıç &amp; Şengül (2026) / Layeghy &amp; Portmann (2023): 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Identificam e alertam sobre o Paradoxo da Generalização em IDSs inteligentes, provando que features como portas lógicas (Destination Port) causam overfitting severo por memorizarem o viés da infraestrutura física do laboratório de testes do dataset (macro-F1 cai de 0.99 para ~0.12 ao mudar de dataset). Justifica remover as portas de rede no treinamento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0" w:line="331.2" w:lineRule="auto"/>
        <w:rPr>
          <w:b w:val="1"/>
          <w:bCs w:val="1"/>
          <w:color w:val="0f2c59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220" w:line="331.2" w:lineRule="auto"/>
        <w:rPr>
          <w:b w:val="1"/>
          <w:bCs w:val="1"/>
          <w:color w:val="0f2c59"/>
          <w:sz w:val="35"/>
          <w:szCs w:val="35"/>
        </w:rPr>
      </w:pPr>
      <w:r w:rsidDel="00000000" w:rsidR="00000000" w:rsidRPr="00000000">
        <w:rPr>
          <w:b w:val="1"/>
          <w:bCs w:val="1"/>
          <w:color w:val="0f2c59"/>
          <w:sz w:val="35"/>
          <w:szCs w:val="35"/>
          <w:rtl w:val="0"/>
        </w:rPr>
        <w:t xml:space="preserve">IPs e Portas como Chave, Não como Features</w:t>
      </w:r>
    </w:p>
    <w:p w:rsidR="00000000" w:rsidDel="00000000" w:rsidP="00000000" w:rsidRDefault="00000000" w:rsidRPr="00000000" w14:paraId="0000002D">
      <w:pPr>
        <w:spacing w:after="10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Seguindo as diretrizes metodológicas de Kılıç &amp; Şengül (2026), as variáveis nominais estáticas extraídas pelo parser — endereço IP de origem/destino e portas lógicas de transporte — serão utilizadas exclusivamente como chave de indexação determinística de fluxo na unidade de Hash e na Flow Table. Elas serão estritamente excluídas do conjunto de variáveis entregues ao modelo de Machine Learning.</w:t>
      </w:r>
    </w:p>
    <w:p w:rsidR="00000000" w:rsidDel="00000000" w:rsidP="00000000" w:rsidRDefault="00000000" w:rsidRPr="00000000" w14:paraId="0000002E">
      <w:pPr>
        <w:spacing w:after="10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"Uma informação pode ser crucial para organizar e agrupar os pacotes em fluxos na FPGA, sem necessariamente ser entregue ao modelo de detecção inteligente."</w:t>
      </w:r>
    </w:p>
    <w:p w:rsidR="00000000" w:rsidDel="00000000" w:rsidP="00000000" w:rsidRDefault="00000000" w:rsidRPr="00000000" w14:paraId="0000002F">
      <w:pPr>
        <w:spacing w:after="10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Mapear a porta de destino (`Destination Port`) como feature do modelo gera um viés de infraestrutura de rede (overfitting) em laboratório, induzindo o classificador a memorizar os serviços ativos específicos do dataset. Ao omitir esses dados efêmeros e treinar o classificador puramente sobre as features estatísticas (tamanho e duração), garantimos que o modelo aprenda padrões universais e apresente alta generalização cross-dataset.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20" w:line="331.2" w:lineRule="auto"/>
        <w:rPr>
          <w:b w:val="1"/>
          <w:bCs w:val="1"/>
          <w:color w:val="0f2c59"/>
          <w:sz w:val="35"/>
          <w:szCs w:val="35"/>
        </w:rPr>
      </w:pPr>
      <w:r w:rsidDel="00000000" w:rsidR="00000000" w:rsidRPr="00000000">
        <w:rPr>
          <w:b w:val="1"/>
          <w:bCs w:val="1"/>
          <w:color w:val="0f2c59"/>
          <w:sz w:val="35"/>
          <w:szCs w:val="35"/>
          <w:rtl w:val="0"/>
        </w:rPr>
        <w:t xml:space="preserve">Definição Simplificada de Fluxo</w:t>
      </w:r>
    </w:p>
    <w:p w:rsidR="00000000" w:rsidDel="00000000" w:rsidP="00000000" w:rsidRDefault="00000000" w:rsidRPr="00000000" w14:paraId="00000032">
      <w:pPr>
        <w:spacing w:after="10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simplificar o desenvolvimento lógico do circuito combinacional e do RMW, adota-se a seguinte especificação de fluxo:</w:t>
      </w:r>
    </w:p>
    <w:p w:rsidR="00000000" w:rsidDel="00000000" w:rsidP="00000000" w:rsidRDefault="00000000" w:rsidRPr="00000000" w14:paraId="00000033">
      <w:pPr>
        <w:spacing w:after="60" w:line="331.2" w:lineRule="auto"/>
        <w:ind w:left="280" w:firstLine="0"/>
        <w:rPr>
          <w:sz w:val="26"/>
          <w:szCs w:val="26"/>
        </w:rPr>
      </w:pPr>
      <w:r w:rsidDel="00000000" w:rsidR="00000000" w:rsidRPr="00000000">
        <w:rPr>
          <w:sz w:val="27"/>
          <w:szCs w:val="27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Fluxo definido de forma unidirecional (uniflow) por meio da 5-upla;</w:t>
      </w:r>
    </w:p>
    <w:p w:rsidR="00000000" w:rsidDel="00000000" w:rsidP="00000000" w:rsidRDefault="00000000" w:rsidRPr="00000000" w14:paraId="00000034">
      <w:pPr>
        <w:spacing w:after="60" w:line="331.2" w:lineRule="auto"/>
        <w:ind w:left="280" w:firstLine="0"/>
        <w:rPr>
          <w:sz w:val="26"/>
          <w:szCs w:val="26"/>
        </w:rPr>
      </w:pPr>
      <w:r w:rsidDel="00000000" w:rsidR="00000000" w:rsidRPr="00000000">
        <w:rPr>
          <w:sz w:val="27"/>
          <w:szCs w:val="27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O primeiro pacote com chave inédita cria e inicializa a entrada correspondente na Flow Table;</w:t>
      </w:r>
    </w:p>
    <w:p w:rsidR="00000000" w:rsidDel="00000000" w:rsidP="00000000" w:rsidRDefault="00000000" w:rsidRPr="00000000" w14:paraId="00000035">
      <w:pPr>
        <w:spacing w:after="60" w:line="331.2" w:lineRule="auto"/>
        <w:ind w:left="280" w:firstLine="0"/>
        <w:rPr>
          <w:sz w:val="26"/>
          <w:szCs w:val="26"/>
        </w:rPr>
      </w:pPr>
      <w:r w:rsidDel="00000000" w:rsidR="00000000" w:rsidRPr="00000000">
        <w:rPr>
          <w:sz w:val="27"/>
          <w:szCs w:val="27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A FSM do Packet Parser decodificará exclusivamente Ethernet II, IPv4, TCP e UDP;</w:t>
      </w:r>
    </w:p>
    <w:p w:rsidR="00000000" w:rsidDel="00000000" w:rsidP="00000000" w:rsidRDefault="00000000" w:rsidRPr="00000000" w14:paraId="00000036">
      <w:pPr>
        <w:spacing w:after="60" w:line="331.2" w:lineRule="auto"/>
        <w:ind w:left="280" w:firstLine="0"/>
        <w:rPr>
          <w:sz w:val="26"/>
          <w:szCs w:val="26"/>
        </w:rPr>
      </w:pPr>
      <w:r w:rsidDel="00000000" w:rsidR="00000000" w:rsidRPr="00000000">
        <w:rPr>
          <w:sz w:val="27"/>
          <w:szCs w:val="27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O tratamento de colisões de hash será simplificado na PoC, armazenando a chave de fluxo original completa para fins de teste funcional seguro de colisão, utilizando bases de PCAP controladas para evitar conflitos.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