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60"/>
        <w:rPr/>
      </w:pPr>
      <w:r>
        <w:rPr>
          <w:rFonts w:eastAsia="Calibri"/>
          <w:b/>
          <w:color w:val="000000"/>
          <w:sz w:val="46"/>
        </w:rPr>
        <w:t xml:space="preserve">PROPOSTA </w:t>
      </w:r>
      <w:r>
        <w:rPr>
          <w:rFonts w:eastAsia="Calibri"/>
          <w:b/>
          <w:color w:val="000000"/>
          <w:sz w:val="46"/>
        </w:rPr>
        <w:t>REDUZIDA</w:t>
      </w:r>
    </w:p>
    <w:p>
      <w:pPr>
        <w:pStyle w:val="Subtitle"/>
        <w:rPr/>
      </w:pPr>
      <w:r>
        <w:rPr>
          <w:rFonts w:eastAsia="Calibri"/>
          <w:color w:val="5B6573"/>
          <w:sz w:val="26"/>
        </w:rPr>
        <w:t>Projeto Samuel - Seleção de features de fluxo para IDS em hardware</w:t>
      </w:r>
    </w:p>
    <w:p>
      <w:pPr>
        <w:pStyle w:val="Normal"/>
        <w:pBdr>
          <w:bottom w:val="single" w:sz="10" w:space="6" w:color="2E74B5"/>
        </w:pBdr>
        <w:spacing w:before="0" w:after="200"/>
        <w:rPr/>
      </w:pPr>
      <w:r>
        <w:rPr>
          <w:rFonts w:eastAsia="Calibri"/>
          <w:b/>
          <w:color w:val="1F2933"/>
          <w:sz w:val="21"/>
        </w:rPr>
        <w:t xml:space="preserve">Finalidade: </w:t>
      </w:r>
      <w:r>
        <w:rPr>
          <w:rFonts w:eastAsia="Calibri"/>
          <w:color w:val="1F2933"/>
          <w:sz w:val="21"/>
        </w:rPr>
        <w:t>orientar a discussão do grupo e definir um escopo tecnicamente executável</w:t>
      </w:r>
    </w:p>
    <w:p>
      <w:pPr>
        <w:pStyle w:val="Normal"/>
        <w:pBdr>
          <w:left w:val="single" w:sz="20" w:space="8" w:color="2E74B5"/>
        </w:pBdr>
        <w:shd w:fill="EEF4F9" w:val="clear"/>
        <w:spacing w:lineRule="auto" w:line="276" w:before="120" w:after="200"/>
        <w:ind w:start="202" w:end="144"/>
        <w:rPr/>
      </w:pPr>
      <w:r>
        <w:rPr>
          <w:rFonts w:eastAsia="Calibri"/>
          <w:b/>
          <w:color w:val="1F4D78"/>
          <w:sz w:val="22"/>
        </w:rPr>
        <w:t>Diretriz central: as 43 features devem ser tratadas como um catálogo de referência, e não como uma lista que o grupo precisa estudar ou implementar integralmente.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Tentar analisar 43 features, cinco datasets e vários métodos de seleção pode transformar o levantamento em outro TCC. A proposta é reduzir o problema sem perder sua justificativa científica e sua ligação com a implementação em Verilog.</w:t>
      </w:r>
    </w:p>
    <w:p>
      <w:pPr>
        <w:pStyle w:val="Heading1"/>
        <w:keepNext w:val="true"/>
        <w:rPr/>
      </w:pPr>
      <w:r>
        <w:rPr/>
        <w:t>1. Pergunta de pesquisa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 pesquisa pode ser organizada a partir de uma única pergunta:</w:t>
      </w:r>
    </w:p>
    <w:p>
      <w:pPr>
        <w:pStyle w:val="Normal"/>
        <w:pBdr>
          <w:left w:val="single" w:sz="20" w:space="8" w:color="1F4D78"/>
        </w:pBdr>
        <w:shd w:fill="F7F9FB" w:val="clear"/>
        <w:spacing w:lineRule="auto" w:line="276" w:before="80" w:after="200"/>
        <w:ind w:start="360" w:end="360"/>
        <w:rPr/>
      </w:pPr>
      <w:r>
        <w:rPr>
          <w:rFonts w:eastAsia="Calibri"/>
          <w:b/>
          <w:i/>
          <w:color w:val="1F4D78"/>
          <w:sz w:val="23"/>
        </w:rPr>
        <w:t>Um conjunto pequeno de features básicas de fluxo, extraíveis em hardware sem inspeção de payload, consegue representar adequadamente tráfego normal e ataques em datasets IoT?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Esse enunciado conecta, de maneira direta: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literatura;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datasets;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seleção de features;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implementação em Verilog;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avaliação experimental.</w:t>
      </w:r>
    </w:p>
    <w:p>
      <w:pPr>
        <w:pStyle w:val="Heading1"/>
        <w:keepNext w:val="true"/>
        <w:rPr/>
      </w:pPr>
      <w:r>
        <w:rPr/>
        <w:t>2. Redução para dois datasets</w:t>
      </w:r>
    </w:p>
    <w:p>
      <w:pPr>
        <w:pStyle w:val="Heading2"/>
        <w:keepNext w:val="true"/>
        <w:rPr/>
      </w:pPr>
      <w:r>
        <w:rPr/>
        <w:t>2.1 NF-BoT-IoT-v2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É voltado para IoT e contempla ataques como DoS, DDoS, reconhecimento, varredura e exfiltração.</w:t>
      </w:r>
    </w:p>
    <w:p>
      <w:pPr>
        <w:pStyle w:val="Heading2"/>
        <w:keepNext w:val="true"/>
        <w:rPr/>
      </w:pPr>
      <w:r>
        <w:rPr/>
        <w:t>2.2 NF-ToN-IoT-v2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Também é voltado para IoT/IIoT e possui maior variedade de ataques, como DoS, DDoS, scanning, injection, password, backdoor e ransomware.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Esses dois datasets são suficientes porque: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utilizam o mesmo conjunto padronizado de 43 features;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são relacionados a IoT;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aparecem no trabalho de Choi, Rheey e Park;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permitem verificar se o resultado se mantém em mais de um ambiente.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UNSW-NB15, CICIDS2017 e CSE-CIC-IDS2018 podem ser mencionados na revisão bibliográfica, mas não precisam ser analisados experimentalmente.</w:t>
      </w:r>
    </w:p>
    <w:p>
      <w:pPr>
        <w:pStyle w:val="Heading1"/>
        <w:keepNext w:val="true"/>
        <w:rPr/>
      </w:pPr>
      <w:r>
        <w:rPr/>
        <w:t>3. Redução para três trabalhos principais</w:t>
      </w:r>
    </w:p>
    <w:p>
      <w:pPr>
        <w:pStyle w:val="ListNumber"/>
        <w:keepLines/>
        <w:widowControl/>
        <w:numPr>
          <w:ilvl w:val="0"/>
          <w:numId w:val="4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Umer et al. (2017): apresenta o problema e a falta de consenso sobre quais features são adequadas.</w:t>
      </w:r>
    </w:p>
    <w:p>
      <w:pPr>
        <w:pStyle w:val="ListNumber"/>
        <w:keepLines/>
        <w:widowControl/>
        <w:numPr>
          <w:ilvl w:val="0"/>
          <w:numId w:val="4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Sarhan et al. (2021/2022): propõe a padronização de features NetFlow em conjuntos de 12 e 43 atributos.</w:t>
      </w:r>
    </w:p>
    <w:p>
      <w:pPr>
        <w:pStyle w:val="ListNumber"/>
        <w:keepLines/>
        <w:widowControl/>
        <w:numPr>
          <w:ilvl w:val="0"/>
          <w:numId w:val="4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Choi, Rheey e Park (2025): mostra que as features relevantes variam conforme o ataque e que subconjuntos menores podem ser utilizados.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Os demais trabalhos podem aparecer em uma tabela complementar, com uma ou duas frases, sem análise detalhada.</w:t>
      </w:r>
    </w:p>
    <w:p>
      <w:pPr>
        <w:pStyle w:val="Normal"/>
        <w:pBdr>
          <w:left w:val="single" w:sz="20" w:space="8" w:color="2E74B5"/>
        </w:pBdr>
        <w:shd w:fill="F7F9FB" w:val="clear"/>
        <w:spacing w:before="80" w:after="200"/>
        <w:ind w:start="360" w:end="360"/>
        <w:rPr/>
      </w:pPr>
      <w:r>
        <w:rPr>
          <w:rFonts w:eastAsia="Calibri"/>
          <w:b/>
          <w:color w:val="1F4D78"/>
          <w:sz w:val="22"/>
        </w:rPr>
        <w:t>Umer mostrou a lacuna; Sarhan padronizou o espaço de features; Choi mostrou que não precisamos utilizar todas simultaneamente.</w:t>
      </w:r>
    </w:p>
    <w:p>
      <w:pPr>
        <w:pStyle w:val="Heading1"/>
        <w:keepNext w:val="true"/>
        <w:rPr/>
      </w:pPr>
      <w:r>
        <w:rPr/>
        <w:t>4. Conjunto reduzido de dez features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Sugere-se que o grupo avalie inicialmente as dez features apresentadas a seguir.</w:t>
      </w:r>
    </w:p>
    <w:tbl>
      <w:tblPr>
        <w:tblW w:w="9360" w:type="dxa"/>
        <w:jc w:val="start"/>
        <w:tblInd w:w="120" w:type="dxa"/>
        <w:tblLayout w:type="fixed"/>
        <w:tblCellMar>
          <w:top w:w="50" w:type="dxa"/>
          <w:start w:w="120" w:type="dxa"/>
          <w:bottom w:w="50" w:type="dxa"/>
          <w:end w:w="120" w:type="dxa"/>
        </w:tblCellMar>
        <w:tblLook w:val="04a0" w:firstRow="1" w:noVBand="1" w:lastRow="0" w:firstColumn="1" w:lastColumn="0" w:noHBand="0"/>
      </w:tblPr>
      <w:tblGrid>
        <w:gridCol w:w="719"/>
        <w:gridCol w:w="2300"/>
        <w:gridCol w:w="3541"/>
        <w:gridCol w:w="2800"/>
      </w:tblGrid>
      <w:tr>
        <w:trPr>
          <w:tblHeader w:val="true"/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18"/>
              </w:rPr>
              <w:t>Nº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18"/>
              </w:rPr>
              <w:t>Feature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18"/>
              </w:rPr>
              <w:t>O que representa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18"/>
              </w:rPr>
              <w:t>Implementação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Protocolo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TCP ou UDP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Leitura do cabeçalho IPv4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Duração do fluxo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Tempo entre o primeiro e o último pacote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Dois timestamps e uma subtração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Pacotes forward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Quantidade de pacotes no sentido inicial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Contador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Pacotes backward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Quantidade de pacotes no sentido inverso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Contador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5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Bytes forward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Volume no sentido inicial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Acumulador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6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Bytes backward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Volume no sentido inverso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Acumulador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7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Menor pacote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Menor comprimento observado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Comparador e registrador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8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Maior pacote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Maior comprimento observado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Comparador e registrador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9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Flags TCP forward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Flags observadas no sentido inicial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Máscara de bits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18"/>
              </w:rPr>
              <w:t>10</w:t>
            </w:r>
          </w:p>
        </w:tc>
        <w:tc>
          <w:tcPr>
            <w:tcW w:w="23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Flags TCP backward</w:t>
            </w:r>
          </w:p>
        </w:tc>
        <w:tc>
          <w:tcPr>
            <w:tcW w:w="3541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Flags observadas no sentido inverso</w:t>
            </w:r>
          </w:p>
        </w:tc>
        <w:tc>
          <w:tcPr>
            <w:tcW w:w="2800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18"/>
              </w:rPr>
              <w:t>Máscara de bits</w:t>
            </w:r>
          </w:p>
        </w:tc>
      </w:tr>
    </w:tbl>
    <w:p>
      <w:pPr>
        <w:pStyle w:val="Heading2"/>
        <w:keepNext w:val="true"/>
        <w:rPr/>
      </w:pPr>
      <w:r>
        <w:br w:type="page"/>
      </w:r>
      <w:r>
        <w:rPr/>
        <w:t>4.1 Justificativa da escolha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As dez features cobrem cinco tipos de informação: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protocolo: TCP ou UDP;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tempo: duração;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volume: pacotes e bytes;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tamanho: menor e maior pacote;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comportamento TCP: flags por direção.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Além disso, essas features: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não exigem payload;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não exigem divisão ou raiz quadrada;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não exigem cálculo de média;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não exigem protocolo de aplicação;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são compatíveis com contadores, registradores, comparadores e subtrações;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aparecem frequentemente nos benchmarks pesquisados.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O conjunto é pequeno, justificável e compatível com a realidade do projeto.</w:t>
      </w:r>
    </w:p>
    <w:p>
      <w:pPr>
        <w:pStyle w:val="Heading1"/>
        <w:keepNext w:val="true"/>
        <w:rPr/>
      </w:pPr>
      <w:r>
        <w:rPr/>
        <w:t>5. IPs e portas como chave, não como features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Os seguintes campos ainda serão necessários para identificar o fluxo: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endereço IP de origem;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endereço IP de destino;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porta de origem;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porta de destino;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protocolo.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Porém, IPs e portas devem ser tratados como chave e metadados, e não como features do classificador na primeira avaliação.</w:t>
      </w:r>
    </w:p>
    <w:p>
      <w:pPr>
        <w:pStyle w:val="Normal"/>
        <w:pBdr>
          <w:left w:val="single" w:sz="20" w:space="8" w:color="1F4D78"/>
        </w:pBdr>
        <w:shd w:fill="F7F9FB" w:val="clear"/>
        <w:spacing w:before="0" w:after="200"/>
        <w:ind w:start="360" w:end="360"/>
        <w:rPr/>
      </w:pPr>
      <w:r>
        <w:rPr>
          <w:rFonts w:eastAsia="Calibri"/>
          <w:b/>
          <w:color w:val="1F4D78"/>
          <w:sz w:val="22"/>
        </w:rPr>
        <w:t>Uma informação pode ser necessária para organizar os pacotes em fluxos sem necessariamente ser entregue ao modelo de detecção.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IPs e portas podem permitir que o modelo memorize as máquinas e serviços do dataset. Isso pode produzir bons resultados nos testes, mas falhar quando o cenário muda.</w:t>
      </w:r>
    </w:p>
    <w:p>
      <w:pPr>
        <w:pStyle w:val="Heading1"/>
        <w:keepNext w:val="true"/>
        <w:rPr/>
      </w:pPr>
      <w:r>
        <w:rPr/>
        <w:t>6. Definição simplificada de fluxo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Para evitar discussões excessivamente complexas, propõe-se: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fluxo identificado pela 5-tupla;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comunicação bidirecional;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o primeiro pacote define a direção forward;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 chave reversa pertence ao mesmo fluxo;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TCP encerra por FIN, RST ou timeout;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UDP encerra somente por timeout;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não haverá reconstrução de payload;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inicialmente serão aceitos apenas Ethernet II, IPv4, TCP e UDP.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Ainda será necessário escolher o valor dos timeouts, mas essa decisão pode ser tomada durante a especificação do extrator.</w:t>
      </w:r>
    </w:p>
    <w:p>
      <w:pPr>
        <w:pStyle w:val="Heading1"/>
        <w:keepNext w:val="true"/>
        <w:rPr/>
      </w:pPr>
      <w:r>
        <w:rPr/>
        <w:t>7. Análise simplificada de aprendizado de máquina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Não é necessário experimentar muitos classificadores e métodos estatísticos. Para a primeira análise, recomenda-se: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transformar os rótulos em classificação binária: normal ou ataque;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utilizar somente um classificador de referência, como Random Forest;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usar importância por permutação para ordenar as dez features;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comparar o modelo com todas as dez features e com as cinco mais importantes.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As métricas podem ser limitadas a: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recall dos ataques;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F1-score;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taxa de falsos positivos.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Accuracy isolada deve ser evitada porque datasets desbalanceados podem apresentar accuracy elevada mesmo quando ataques são classificados incorretamente.</w:t>
      </w:r>
    </w:p>
    <w:p>
      <w:pPr>
        <w:pStyle w:val="Normal"/>
        <w:pBdr>
          <w:left w:val="single" w:sz="20" w:space="8" w:color="2E74B5"/>
        </w:pBdr>
        <w:shd w:fill="F7F9FB" w:val="clear"/>
        <w:spacing w:before="0" w:after="200"/>
        <w:ind w:start="360" w:end="360"/>
        <w:rPr/>
      </w:pPr>
      <w:r>
        <w:rPr>
          <w:rFonts w:eastAsia="Calibri"/>
          <w:b/>
          <w:color w:val="1F4D78"/>
          <w:sz w:val="22"/>
        </w:rPr>
        <w:t>Objetivo do aprendizado de máquina: verificar se as features simples escolhidas carregam informação suficiente para justificar sua extração em hardware.</w:t>
      </w:r>
      <w:r>
        <w:br w:type="page"/>
      </w:r>
    </w:p>
    <w:p>
      <w:pPr>
        <w:pStyle w:val="Heading1"/>
        <w:keepNext w:val="true"/>
        <w:rPr/>
      </w:pPr>
      <w:r>
        <w:rPr/>
        <w:t>8. Experimento mínimo</w:t>
      </w:r>
    </w:p>
    <w:tbl>
      <w:tblPr>
        <w:tblW w:w="9360" w:type="dxa"/>
        <w:jc w:val="start"/>
        <w:tblInd w:w="120" w:type="dxa"/>
        <w:tblLayout w:type="fixed"/>
        <w:tblCellMar>
          <w:top w:w="50" w:type="dxa"/>
          <w:start w:w="120" w:type="dxa"/>
          <w:bottom w:w="50" w:type="dxa"/>
          <w:end w:w="120" w:type="dxa"/>
        </w:tblCellMar>
        <w:tblLook w:val="04a0" w:firstRow="1" w:noVBand="1" w:lastRow="0" w:firstColumn="1" w:lastColumn="0" w:noHBand="0"/>
      </w:tblPr>
      <w:tblGrid>
        <w:gridCol w:w="1583"/>
        <w:gridCol w:w="3888"/>
        <w:gridCol w:w="3889"/>
      </w:tblGrid>
      <w:tr>
        <w:trPr>
          <w:tblHeader w:val="true"/>
          <w:cantSplit/>
        </w:trPr>
        <w:tc>
          <w:tcPr>
            <w:tcW w:w="1583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20"/>
              </w:rPr>
              <w:t>Experimento</w:t>
            </w:r>
          </w:p>
        </w:tc>
        <w:tc>
          <w:tcPr>
            <w:tcW w:w="3888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20"/>
              </w:rPr>
              <w:t>Dataset</w:t>
            </w:r>
          </w:p>
        </w:tc>
        <w:tc>
          <w:tcPr>
            <w:tcW w:w="388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shd w:fill="F2F4F7" w:val="clear"/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b/>
                <w:color w:val="1F4D78"/>
                <w:sz w:val="20"/>
              </w:rPr>
              <w:t>Features</w:t>
            </w:r>
          </w:p>
        </w:tc>
      </w:tr>
      <w:tr>
        <w:trPr>
          <w:cantSplit/>
        </w:trPr>
        <w:tc>
          <w:tcPr>
            <w:tcW w:w="1583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20"/>
              </w:rPr>
              <w:t>1</w:t>
            </w:r>
          </w:p>
        </w:tc>
        <w:tc>
          <w:tcPr>
            <w:tcW w:w="3888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NF-BoT-IoT-v2</w:t>
            </w:r>
          </w:p>
        </w:tc>
        <w:tc>
          <w:tcPr>
            <w:tcW w:w="388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Todas as 10</w:t>
            </w:r>
          </w:p>
        </w:tc>
      </w:tr>
      <w:tr>
        <w:trPr>
          <w:cantSplit/>
        </w:trPr>
        <w:tc>
          <w:tcPr>
            <w:tcW w:w="1583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20"/>
              </w:rPr>
              <w:t>2</w:t>
            </w:r>
          </w:p>
        </w:tc>
        <w:tc>
          <w:tcPr>
            <w:tcW w:w="3888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NF-BoT-IoT-v2</w:t>
            </w:r>
          </w:p>
        </w:tc>
        <w:tc>
          <w:tcPr>
            <w:tcW w:w="388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Cinco mais importantes</w:t>
            </w:r>
          </w:p>
        </w:tc>
      </w:tr>
      <w:tr>
        <w:trPr>
          <w:cantSplit/>
        </w:trPr>
        <w:tc>
          <w:tcPr>
            <w:tcW w:w="1583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20"/>
              </w:rPr>
              <w:t>3</w:t>
            </w:r>
          </w:p>
        </w:tc>
        <w:tc>
          <w:tcPr>
            <w:tcW w:w="3888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NF-ToN-IoT-v2</w:t>
            </w:r>
          </w:p>
        </w:tc>
        <w:tc>
          <w:tcPr>
            <w:tcW w:w="388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Todas as 10</w:t>
            </w:r>
          </w:p>
        </w:tc>
      </w:tr>
      <w:tr>
        <w:trPr>
          <w:cantSplit/>
        </w:trPr>
        <w:tc>
          <w:tcPr>
            <w:tcW w:w="1583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center"/>
              <w:rPr/>
            </w:pPr>
            <w:r>
              <w:rPr>
                <w:rFonts w:eastAsia="Calibri"/>
                <w:color w:val="1F2933"/>
                <w:sz w:val="20"/>
              </w:rPr>
              <w:t>4</w:t>
            </w:r>
          </w:p>
        </w:tc>
        <w:tc>
          <w:tcPr>
            <w:tcW w:w="3888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NF-ToN-IoT-v2</w:t>
            </w:r>
          </w:p>
        </w:tc>
        <w:tc>
          <w:tcPr>
            <w:tcW w:w="3889" w:type="dxa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  <w:vAlign w:val="center"/>
          </w:tcPr>
          <w:p>
            <w:pPr>
              <w:pStyle w:val="Normal"/>
              <w:spacing w:lineRule="auto" w:line="252" w:before="0" w:after="0"/>
              <w:jc w:val="start"/>
              <w:rPr/>
            </w:pPr>
            <w:r>
              <w:rPr>
                <w:rFonts w:eastAsia="Calibri"/>
                <w:color w:val="1F2933"/>
                <w:sz w:val="20"/>
              </w:rPr>
              <w:t>Cinco mais importantes</w:t>
            </w:r>
          </w:p>
        </w:tc>
      </w:tr>
    </w:tbl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Se o processamento dos datasets completos for pesado, pode-se utilizar uma amostra estratificada e reproduzível, documentando: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quantidade de fluxos;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proporção entre normal e ataque;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semente utilizada;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critério de amostragem.</w:t>
      </w:r>
    </w:p>
    <w:p>
      <w:pPr>
        <w:pStyle w:val="Heading1"/>
        <w:keepNext w:val="true"/>
        <w:rPr/>
      </w:pPr>
      <w:r>
        <w:rPr/>
        <w:t>9. Delimitação explícita do escopo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Para não ampliar excessivamente o trabalho, recomenda-se declarar que a primeira versão não investigará: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as 43 features individualmente;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protocolo L7;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DNS, HTTP, FTP ou TLS;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inspeção de payload;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desvio-padrão e variância;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médias e taxas;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retransmissões TCP;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bulk;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períodos active/idle;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agregações por host;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classificação multiclasse;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seleção individual para cada ataque;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todos os datasets disponíveis;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múltiplos classificadores.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Essas possibilidades não foram ignoradas. Elas foram identificadas e conscientemente deixadas como trabalhos futuros.</w:t>
      </w:r>
    </w:p>
    <w:p>
      <w:pPr>
        <w:pStyle w:val="Heading1"/>
        <w:keepNext w:val="true"/>
        <w:rPr/>
      </w:pPr>
      <w:r>
        <w:rPr/>
        <w:t>10. Segunda etapa opcional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Somente se o núcleo de dez features estiver funcionando e houver tempo, o grupo poderá testar quatro extensões: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IAT mínimo;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IAT máximo;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TTL mínimo;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TTL máximo.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A segunda etapa elevaria o conjunto para 14 features. Médias, taxas, janelas TCP, histogramas e outras estatísticas só seriam avaliadas depois e não fazem parte do compromisso inicial.</w:t>
      </w:r>
    </w:p>
    <w:p>
      <w:pPr>
        <w:pStyle w:val="Heading1"/>
        <w:keepNext w:val="true"/>
        <w:rPr/>
      </w:pPr>
      <w:r>
        <w:rPr/>
        <w:t>11. Ajustes sugeridos no levantamento do grupo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manter as fichas completas dos cinco datasets em um apêndice;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no corpo principal, detalhar somente NF-BoT-IoT-v2 e NF-ToN-IoT-v2;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substituir a lista preliminar de 20 features pela lista de 10;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retirar a duplicação entre bytes e comprimento total;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retirar porta de destino do conjunto entregue ao classificador;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usar máscaras de flags em vez de cinco contadores separados;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deixar IAT, TTL e janela TCP como extensões;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incluir apenas Umer, Sarhan e Choi na narrativa central;</w:t>
      </w:r>
    </w:p>
    <w:p>
      <w:pPr>
        <w:pStyle w:val="ListBullet"/>
        <w:keepLines/>
        <w:widowControl/>
        <w:numPr>
          <w:ilvl w:val="0"/>
          <w:numId w:val="1"/>
        </w:numPr>
        <w:spacing w:lineRule="auto" w:line="281" w:before="0" w:after="160"/>
        <w:ind w:hanging="360" w:start="720"/>
        <w:contextualSpacing/>
        <w:rPr/>
      </w:pPr>
      <w:r>
        <w:rPr>
          <w:rFonts w:eastAsia="Calibri"/>
          <w:color w:val="1F2933"/>
          <w:sz w:val="22"/>
        </w:rPr>
        <w:t>colocar os demais trabalhos em uma tabela resumida.</w:t>
      </w:r>
    </w:p>
    <w:p>
      <w:pPr>
        <w:pStyle w:val="Heading1"/>
        <w:keepNext w:val="true"/>
        <w:rPr/>
      </w:pPr>
      <w:r>
        <w:rPr/>
        <w:t>12. Escopo recomendado para apresentação</w:t>
      </w:r>
    </w:p>
    <w:p>
      <w:pPr>
        <w:pStyle w:val="Normal"/>
        <w:keepLines/>
        <w:pBdr>
          <w:left w:val="single" w:sz="20" w:space="8" w:color="2E74B5"/>
        </w:pBdr>
        <w:shd w:fill="EEF4F9" w:val="clear"/>
        <w:spacing w:lineRule="auto" w:line="276" w:before="80" w:after="200"/>
        <w:ind w:start="288" w:end="288"/>
        <w:rPr/>
      </w:pPr>
      <w:r>
        <w:rPr>
          <w:rFonts w:eastAsia="Calibri"/>
          <w:b/>
          <w:color w:val="1F4D78"/>
          <w:sz w:val="22"/>
        </w:rPr>
        <w:t>O projeto utilizará NF-BoT-IoT-v2 e NF-ToN-IoT-v2 como benchmarks principais. Embora esses datasets disponibilizem 43 features padronizadas, a pesquisa avaliará um conjunto reduzido de dez features comportamentais, escolhidas por sua recorrência na literatura e baixa complexidade de implementação em hardware. A avaliação inicial será binária, normal versus ataque, utilizando um classificador de referência em software. IPs e portas serão utilizados somente na identificação dos fluxos. Features de aplicação, estatísticas complexas e seleção específica por ataque ficarão como trabalhos futuros.</w:t>
      </w:r>
    </w:p>
    <w:p>
      <w:pPr>
        <w:pStyle w:val="Normal"/>
        <w:ind w:hanging="0" w:start="0" w:end="0"/>
        <w:jc w:val="start"/>
        <w:rPr/>
      </w:pPr>
      <w:r>
        <w:rPr>
          <w:rFonts w:eastAsia="Calibri"/>
          <w:color w:val="1F2933"/>
          <w:sz w:val="22"/>
        </w:rPr>
        <w:t>Essa redução continua cientificamente defensável e torna o projeto executável. O objetivo passa a ser demonstrar bem um núcleo pequeno de features, em vez de fazer superficialmente uma análise de todas as 43.</w:t>
      </w:r>
    </w:p>
    <w:p>
      <w:pPr>
        <w:pStyle w:val="Heading1"/>
        <w:keepNext w:val="true"/>
        <w:rPr/>
      </w:pPr>
      <w:r>
        <w:rPr/>
        <w:t>Referências centrais</w:t>
      </w:r>
    </w:p>
    <w:p>
      <w:pPr>
        <w:pStyle w:val="Normal"/>
        <w:spacing w:before="0" w:after="160"/>
        <w:ind w:hanging="360" w:start="360"/>
        <w:rPr/>
      </w:pPr>
      <w:r>
        <w:rPr>
          <w:rFonts w:eastAsia="Calibri"/>
          <w:color w:val="1F2933"/>
          <w:sz w:val="21"/>
        </w:rPr>
        <w:t xml:space="preserve">UMER, M. F.; SHER, M.; BI, Y. Flow-based Intrusion Detection Techniques and Challenges. Computers &amp; Security, 2017. </w:t>
      </w:r>
      <w:hyperlink r:id="rId2">
        <w:r>
          <w:rPr>
            <w:rStyle w:val="Style"/>
            <w:color w:val="2E74B5"/>
            <w:sz w:val="22"/>
            <w:u w:val="single"/>
          </w:rPr>
          <w:t>Acesso pelo DOI</w:t>
        </w:r>
      </w:hyperlink>
    </w:p>
    <w:p>
      <w:pPr>
        <w:pStyle w:val="Normal"/>
        <w:spacing w:before="0" w:after="160"/>
        <w:ind w:hanging="360" w:start="360"/>
        <w:rPr/>
      </w:pPr>
      <w:r>
        <w:rPr>
          <w:rFonts w:eastAsia="Calibri"/>
          <w:color w:val="1F2933"/>
          <w:sz w:val="21"/>
        </w:rPr>
        <w:t xml:space="preserve">SARHAN, M.; LAYEGHY, S.; PORTMANN, M. Towards a Standard Feature Set for Network Intrusion Detection System Datasets. Mobile Networks and Applications, 2022. </w:t>
      </w:r>
      <w:hyperlink r:id="rId3">
        <w:r>
          <w:rPr>
            <w:rStyle w:val="Style"/>
            <w:color w:val="2E74B5"/>
            <w:sz w:val="22"/>
            <w:u w:val="single"/>
          </w:rPr>
          <w:t>Acesso pelo DOI</w:t>
        </w:r>
      </w:hyperlink>
    </w:p>
    <w:p>
      <w:pPr>
        <w:pStyle w:val="Normal"/>
        <w:spacing w:before="0" w:after="160"/>
        <w:ind w:hanging="360" w:start="360"/>
        <w:rPr/>
      </w:pPr>
      <w:r>
        <w:rPr>
          <w:rFonts w:eastAsia="Calibri"/>
          <w:color w:val="1F2933"/>
          <w:sz w:val="21"/>
        </w:rPr>
        <w:t xml:space="preserve">CHOI, D.; RHEEY, J.; PARK, H. Attack-specific feature analysis framework for NetFlow IoT datasets. Computers &amp; Security, 2025. </w:t>
      </w:r>
      <w:hyperlink r:id="rId4">
        <w:r>
          <w:rPr>
            <w:rStyle w:val="Style"/>
            <w:color w:val="2E74B5"/>
            <w:sz w:val="22"/>
            <w:u w:val="single"/>
          </w:rPr>
          <w:t>Acesso pelo DOI</w:t>
        </w:r>
      </w:hyperlink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Calibri"/>
        <w:color w:val="5B6573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rFonts w:eastAsia="Calibri"/>
        <w:color w:val="5B6573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start"/>
    </w:pPr>
    <w:rPr>
      <w:rFonts w:ascii="Calibri" w:hAnsi="Calibri" w:eastAsia="ＭＳ 明朝" w:cs=""/>
      <w:color w:val="1F29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28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5B6573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1016/j.cose.2017.05.009" TargetMode="External"/><Relationship Id="rId3" Type="http://schemas.openxmlformats.org/officeDocument/2006/relationships/hyperlink" Target="https://doi.org/10.1007/s11036-021-01843-0" TargetMode="External"/><Relationship Id="rId4" Type="http://schemas.openxmlformats.org/officeDocument/2006/relationships/hyperlink" Target="https://doi.org/10.1016/j.cose.2025.104536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6</Pages>
  <Words>1373</Words>
  <Characters>7687</Characters>
  <CharactersWithSpaces>8798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Grupo do Projeto Samuel</dc:creator>
  <dc:description>Documento de trabalho para discussão do grupo.</dc:description>
  <cp:keywords>NetFlow IDS hardware Verilog features de fluxo IoT</cp:keywords>
  <dc:language>en-GB</dc:language>
  <cp:lastModifiedBy/>
  <dcterms:modified xsi:type="dcterms:W3CDTF">2026-08-24T21:57:53Z</dcterms:modified>
  <cp:revision>2</cp:revision>
  <dc:subject>Seleção reduzida de features de fluxo para IDS em hardware</dc:subject>
  <dc:title>Proposta de Escopo Reduzido - Projeto Samuel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