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Arial" w:hAnsi="Arial"/>
          <w:b/>
          <w:color w:val="1F3864"/>
          <w:sz w:val="32"/>
        </w:rPr>
        <w:t>Sumário</w:t>
      </w:r>
    </w:p>
    <w:p>
      <w:r>
        <w:t>Este documento apresenta a especificação arquitetural de hardware e a fundamentação teórica para o desenvolvimento de um extrator de características síncronas de rede (Features) implementado em Verilog para FPGAs. O objetivo é viabilizar o processamento de pacotes a velocidades de linha (wire-speed), suportando Sistemas de Detecção de Intrusão (IDS) baseados em Aprendizado de Máquina de forma eficiente.</w:t>
      </w:r>
    </w:p>
    <w:p>
      <w:pPr>
        <w:keepNext/>
        <w:spacing w:before="360" w:after="120"/>
      </w:pPr>
      <w:r>
        <w:rPr>
          <w:rFonts w:ascii="Arial" w:hAnsi="Arial"/>
          <w:b/>
          <w:color w:val="1F3864"/>
          <w:sz w:val="32"/>
        </w:rPr>
        <w:t>1. Introdução e Justificativa da Abordagem Stateful per-Flow</w:t>
      </w:r>
    </w:p>
    <w:p>
      <w:r>
        <w:t>A segurança de perímetros de rede enfrenta barreiras críticas associadas à escalabilidade e à cifragem de dados. Tradicionalmente, Sistemas de Detecção de Intrusão de Rede (NIDS) baseavam-se em casamento de padrões estáticos no conteúdo dos pacotes, técnica conhecida como Inspeção Profunda de Pacotes (Deep Packet Inspection - DPI). No entanto, o DPI apresenta limitações físicas severas no cenário contemporâneo de redes gigabit. A necessidade de remontar fluxos lógicos e inspecionar payloads em tempo de execução gera latências de processamento proibitivas, conduzindo a taxas elevadas de descarte de pacotes sob tráfego severo.</w:t>
      </w:r>
    </w:p>
    <w:p>
      <w:r>
        <w:t>Adicionalmente, a migração massiva da infraestrutura web global para protocolos fortemente criptografados (como TLS 1.3 e QUIC) torna o payload dos pacotes opaco a qualquer varredura tradicional por assinaturas de software. Para responder a esse desafio, este projeto adota a análise comportamental baseada em fluxos de tráfego (flow-based stateful), que opera exclusivamente sobre informações estruturadas de cabeçalhos e dinâmicas temporais de transmissão. Ao agrupar pacotes em fluxos definidos síncronamente pela 5-upla de transporte, é possível extrair assinaturas estatísticas altamente explicáveis e robustas contra criptografia forte, reduzindo em ordens de grandeza a volumetria de dados transmitidos ao classificador de segurança.</w:t>
      </w:r>
    </w:p>
    <w:p>
      <w:pPr>
        <w:keepNext/>
        <w:spacing w:before="360" w:after="120"/>
      </w:pPr>
      <w:r>
        <w:rPr>
          <w:rFonts w:ascii="Arial" w:hAnsi="Arial"/>
          <w:b/>
          <w:color w:val="1F3864"/>
          <w:sz w:val="32"/>
        </w:rPr>
        <w:t>2. Pergunta de Pesquisa, Escopo e Delimitação</w:t>
      </w:r>
    </w:p>
    <w:p>
      <w:r>
        <w:t>Com o objetivo de validar a viabilidade de aceleradores dedicados de hardware para segurança, este projeto de Trabalho de Conclusão de Curso (TCC) é estruturado a partir da seguinte pergunta científica central:</w:t>
      </w:r>
    </w:p>
    <w:p>
      <w:pPr>
        <w:spacing w:before="160" w:after="160"/>
        <w:ind w:left="720" w:right="720"/>
      </w:pPr>
      <w:r>
        <w:rPr>
          <w:rFonts w:ascii="Arial" w:hAnsi="Arial"/>
          <w:b/>
          <w:i/>
          <w:color w:val="1F3864"/>
          <w:sz w:val="22"/>
        </w:rPr>
        <w:t>“É possível extrair síncronamente um conjunto reduzido de características estatísticas e volumétricas de fluxo diretamente na pipeline de hardware de uma FPGA, mantendo capacidade de classificação altamente precisa e livre de operadores de divisão física na pipeline de dados?”</w:t>
      </w:r>
    </w:p>
    <w:p>
      <w:r>
        <w:t>Para garantir a viabilidade prática e a execução dentro dos prazos do programa CI Digital, o escopo da Prova de Conceito (PoC) prática é rigorosamente delimitado. O circuito Verilog será projetado para operar sobre uma interface síncrona de 64 bits de largura de dados por ciclo, extraindo as informações básicas de uniflows obtidas de cabeçalhos Ethernet II, IPv4, TCP e UDP. O desenvolvimento focará na simulação pré-síntese estimulada de forma offline a partir de arquivos PCAP capturados em datasets públicos. Extensões computacionais pesadas (como o pós-processamento de médias, desvios-padrão e variâncias complexas) são deliberadamente tratadas como trabalhos futuros, mantendo a pipeline de silício altamente enxuta e operando em clocks elevados (&gt;= 100 MHz).</w:t>
      </w:r>
    </w:p>
    <w:p>
      <w:pPr>
        <w:keepNext/>
        <w:spacing w:before="360" w:after="120"/>
      </w:pPr>
      <w:r>
        <w:rPr>
          <w:rFonts w:ascii="Arial" w:hAnsi="Arial"/>
          <w:b/>
          <w:color w:val="1F3864"/>
          <w:sz w:val="32"/>
        </w:rPr>
        <w:t>3. Seleção e Justificativa Científica do Vetor de Atributos da PoC</w:t>
      </w:r>
    </w:p>
    <w:p>
      <w:r>
        <w:t>A Prova de Conceito baseia-se na extração de seis características síncronas cruciais, que reúnem expressividade estatística e extrema simplicidade aritmética no silício. Abaixo, detalha-se o vetor de atributos selecionado e seu embasamento científico:</w:t>
      </w:r>
    </w:p>
    <w:p>
      <w:pPr>
        <w:pStyle w:val="ListBullet"/>
        <w:spacing w:after="80"/>
      </w:pPr>
      <w:r>
        <w:rPr>
          <w:rFonts w:ascii="Arial" w:hAnsi="Arial"/>
          <w:b/>
        </w:rPr>
        <w:t xml:space="preserve">Chave do Fluxo (flow_key): </w:t>
      </w:r>
      <w:r>
        <w:rPr>
          <w:rFonts w:ascii="Arial" w:hAnsi="Arial"/>
        </w:rPr>
        <w:t>Concatenada a partir da 5-upla do cabeçalho de rede. Como demonstrado por Akem et al. (NOMS 2024), na presença de tráfego cifrado, a 5-upla constitui o único identificador estável e legível para roteamento e correspondência de conexões stateful no silício.</w:t>
      </w:r>
    </w:p>
    <w:p>
      <w:pPr>
        <w:pStyle w:val="ListBullet"/>
        <w:spacing w:after="80"/>
      </w:pPr>
      <w:r>
        <w:rPr>
          <w:rFonts w:ascii="Arial" w:hAnsi="Arial"/>
          <w:b/>
        </w:rPr>
        <w:t xml:space="preserve">Contador de Pacotes (packet_count): </w:t>
      </w:r>
      <w:r>
        <w:rPr>
          <w:rFonts w:ascii="Arial" w:hAnsi="Arial"/>
        </w:rPr>
        <w:t>Feature volumétrica primária. Essencial para a caracterização de anomalias por inundação e varredura de portas, permitindo ao classificador monitorar a densidade de mensagens da conexão. É implementada por um somador simples de 1-bit em hardware.</w:t>
      </w:r>
    </w:p>
    <w:p>
      <w:pPr>
        <w:pStyle w:val="ListBullet"/>
        <w:spacing w:after="80"/>
      </w:pPr>
      <w:r>
        <w:rPr>
          <w:rFonts w:ascii="Arial" w:hAnsi="Arial"/>
          <w:b/>
        </w:rPr>
        <w:t xml:space="preserve">Volume de Bytes (total_length): </w:t>
      </w:r>
      <w:r>
        <w:rPr>
          <w:rFonts w:ascii="Arial" w:hAnsi="Arial"/>
        </w:rPr>
        <w:t>Soma acumulada do tamanho dos pacotes do fluxo. Permite ao classificador discernir se o fluxo trafega apenas mensagens curtas de sinalização lúdica (como Keep-Alives ou ACKs TCP) ou exfiltrações massivas de dados de aplicação.</w:t>
      </w:r>
    </w:p>
    <w:p>
      <w:pPr>
        <w:pStyle w:val="ListBullet"/>
        <w:spacing w:after="80"/>
      </w:pPr>
      <w:r>
        <w:rPr>
          <w:rFonts w:ascii="Arial" w:hAnsi="Arial"/>
          <w:b/>
        </w:rPr>
        <w:t xml:space="preserve">Duração do Fluxo (flow_duration): </w:t>
      </w:r>
      <w:r>
        <w:rPr>
          <w:rFonts w:ascii="Arial" w:hAnsi="Arial"/>
        </w:rPr>
        <w:t>Subtração combinacional síncrona realizada exclusivamente no estágio de encerramento do fluxo (Flow Finalizer), calculada por: duration = last_timestamp - first_timestamp. Permite rastrear conexões silenciosas e canais lentos de comando e controle.</w:t>
      </w:r>
    </w:p>
    <w:p>
      <w:pPr>
        <w:pStyle w:val="ListBullet"/>
        <w:spacing w:after="80"/>
      </w:pPr>
      <w:r>
        <w:rPr>
          <w:rFonts w:ascii="Arial" w:hAnsi="Arial"/>
          <w:b/>
        </w:rPr>
        <w:t xml:space="preserve">Comprimento Mínimo (min_packet_length): </w:t>
      </w:r>
      <w:r>
        <w:rPr>
          <w:rFonts w:ascii="Arial" w:hAnsi="Arial"/>
        </w:rPr>
        <w:t>O menor tamanho de frame Ethernet observado no fluxo. Identifica assinaturas físicas de conexões robóticas padronizadas baseadas em tamanhos fixos. Implementado por um comparador de magnitude de um único ciclo.</w:t>
      </w:r>
    </w:p>
    <w:p>
      <w:pPr>
        <w:pStyle w:val="ListBullet"/>
        <w:spacing w:after="80"/>
      </w:pPr>
      <w:r>
        <w:rPr>
          <w:rFonts w:ascii="Arial" w:hAnsi="Arial"/>
          <w:b/>
        </w:rPr>
        <w:t xml:space="preserve">Comprimento Máximo (max_packet_length): </w:t>
      </w:r>
      <w:r>
        <w:rPr>
          <w:rFonts w:ascii="Arial" w:hAnsi="Arial"/>
        </w:rPr>
        <w:t>O maior tamanho de frame observado no fluxo. Indica se o canal atingiu o limite da Unidade Máxima de Transmissão (MTU) da rede, comum em transferências pesadas de dados cifrados.</w:t>
      </w:r>
    </w:p>
    <w:p/>
    <w:p>
      <w:r>
        <w:t>Este conjunto de meia dúzia de atributos possui forte amparo teórico. Viegas et al. (2020) realizaram medições reais de dissipação de energia em hardware reconfigurável e provaram que características de host ou baseadas em histórico deslizante são energeticamente proibitivas para dispositivos embarcados. Usando algoritmos genéticos multiobjetivo (NSGA-II), eles provaram que priorizar contadores de fluxo básicos de cabeçalho gera uma economia média de 51,7% de energia na extração de features e até 72,7% na classificação, com um decréscimo de acurácia de classificação irrisório de apenas 0,90%.</w:t>
      </w:r>
    </w:p>
    <w:p>
      <w:r>
        <w:t>Do ponto de vista de robustez e generalização, o estudo pioneiro de Kılıç &amp; Şengül (2026) revelou que modelos de segurança que utilizam portas de destino nominais como atributos diretos do classificador sofrem um colapso catastrófico ao mudar de dataset (macro-F1 caindo de ~1.00 para ~0.12), pois o modelo decora as portas de servidores específicas da infraestrutura física do laboratório gerador da base. Ao isolar IPs e portas estritamente como chaves indexadoras de fluxo (flow_key) no silício e entregar ao classificador apenas features puramente estatísticas (volumétricas e temporais), este projeto blinda o modelo contra vieses de topologia, assegurando alta generalização cross-dataset.</w:t>
      </w:r>
    </w:p>
    <w:p>
      <w:pPr>
        <w:keepNext/>
        <w:spacing w:before="360" w:after="120"/>
      </w:pPr>
      <w:r>
        <w:rPr>
          <w:rFonts w:ascii="Arial" w:hAnsi="Arial"/>
          <w:b/>
          <w:color w:val="1F3864"/>
          <w:sz w:val="32"/>
        </w:rPr>
        <w:t>4. Arquitetura Física do Circuito Extrator em FPGA</w:t>
      </w:r>
    </w:p>
    <w:p>
      <w:r>
        <w:t>O circuito Verilog proposto é organizado em um pipeline síncrono composto por cinco macro-blocos funcionais, projetados de forma a manter o caminho crítico livre de divisores combinacionais, garantindo timing closure elevado:</w:t>
      </w:r>
    </w:p>
    <w:p>
      <w:pPr>
        <w:keepNext/>
        <w:spacing w:before="360" w:after="120"/>
      </w:pPr>
      <w:r>
        <w:rPr>
          <w:rFonts w:ascii="Arial" w:hAnsi="Arial"/>
          <w:b/>
          <w:color w:val="1F3864"/>
          <w:sz w:val="24"/>
        </w:rPr>
        <w:t>4.1 Interface de Stream e Packet Parser FSM</w:t>
      </w:r>
    </w:p>
    <w:p>
      <w:r>
        <w:t>O circuito recebe dados através de uma interface baseada no padrão de barramento síncrono de 64 bits de largura. A interface de estímulos expõe os sinais síncronos 'data' (bytes de dados), 'timestamp' (tempo físico fornecido pela sonda), 'sop' (start-of-packet), 'eop' (end-of-packet), 'keep' (bytes válidos no ciclo de eop), 'valid' e 'ready' (controle de fluxo). O Packet Parser é estruturado como uma Máquina de Estados Finitos (FSM) em hardware que avança de forma síncrona ao longo de offsets de protocolo pré-definidos (Ethernet II, IPv4, TCP/UDP). Ele decodifica os cabeçalhos em fluxo (on-the-fly), extraindo as variáveis necessárias e descartando imediatamente os bytes de payload de aplicação para evitar bufferização redundante.</w:t>
      </w:r>
    </w:p>
    <w:p>
      <w:pPr>
        <w:keepNext/>
        <w:spacing w:before="360" w:after="120"/>
      </w:pPr>
      <w:r>
        <w:rPr>
          <w:rFonts w:ascii="Arial" w:hAnsi="Arial"/>
          <w:b/>
          <w:color w:val="1F3864"/>
          <w:sz w:val="24"/>
        </w:rPr>
        <w:t>4.2 Flow Identification e Unidade de Hashing</w:t>
      </w:r>
    </w:p>
    <w:p>
      <w:r>
        <w:t>Com os metadados extraídos pelo parser, a unidade de identificação gera a chave do fluxo (flow_key). Como a chave de 5-upla é excessivamente larga para indexar tabelas físicas diretamente, o circuito incorpora uma Unidade de Hash leve de baixa latência (como FNV-1a ou CRC adaptado), que converte síncronamente a chave larga em um índice físico para endereçar a tabela de fluxos.</w:t>
      </w:r>
    </w:p>
    <w:p>
      <w:pPr>
        <w:keepNext/>
        <w:spacing w:before="360" w:after="120"/>
      </w:pPr>
      <w:r>
        <w:rPr>
          <w:rFonts w:ascii="Arial" w:hAnsi="Arial"/>
          <w:b/>
          <w:color w:val="1F3864"/>
          <w:sz w:val="24"/>
        </w:rPr>
        <w:t>4.3 Tabela de Fluxos (Flow Table) em BRAM</w:t>
      </w:r>
    </w:p>
    <w:p>
      <w:r>
        <w:t>A tabela de fluxos é instanciada diretamente nas memórias rápidas internas do FPGA (Block RAM - BRAM). Cada registro de estado armazena o bit 'valid', a 'flow_key' original completa (para verificação física de colisões lógicas), o 'packet_count', o 'total_length', o 'first_timestamp' e o 'last_timestamp'. No ciclo de clock correspondente à chegada do pacote, o hardware executa um ciclo síncrono de Leitura-Modificação-Escrita (Read-Modify-Write - RMW): lê o estado anterior, verifica o bit valid, compara as chaves e, em caso de acerto (Hit), atualiza síncronamente contadores e acumuladores paralelos utilizando somadores e comparadores lógicos de magnitude de 1 ciclo, escrevendo o estado atualizado de volta no mesmo endereço de BRAM.</w:t>
      </w:r>
    </w:p>
    <w:p>
      <w:r>
        <w:t>A Tabela 1 apresenta o mapeamento de recursos lógicos e operadores físicos em Verilog projetados para a PoC:</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tblBorders>
      </w:tblPr>
      <w:tblGrid>
        <w:gridCol w:w="2340"/>
        <w:gridCol w:w="2340"/>
        <w:gridCol w:w="2340"/>
        <w:gridCol w:w="2340"/>
      </w:tblGrid>
      <w:tr>
        <w:tc>
          <w:tcPr>
            <w:tcW w:type="dxa" w:w="2160"/>
            <w:shd w:fill="1F3864" w:val="clear"/>
            <w:tcMar>
              <w:top w:w="140" w:type="dxa"/>
              <w:bottom w:w="140" w:type="dxa"/>
              <w:left w:w="180" w:type="dxa"/>
              <w:right w:w="180" w:type="dxa"/>
            </w:tcMar>
          </w:tcPr>
          <w:p>
            <w:pPr>
              <w:jc w:val="center"/>
            </w:pPr>
            <w:r>
              <w:rPr>
                <w:rFonts w:ascii="Arial" w:hAnsi="Arial"/>
                <w:b/>
                <w:color w:val="FFFFFF"/>
                <w:sz w:val="20"/>
              </w:rPr>
              <w:t>Atributo de Fluxo</w:t>
            </w:r>
          </w:p>
        </w:tc>
        <w:tc>
          <w:tcPr>
            <w:tcW w:type="dxa" w:w="3168"/>
            <w:shd w:fill="1F3864" w:val="clear"/>
            <w:tcMar>
              <w:top w:w="140" w:type="dxa"/>
              <w:bottom w:w="140" w:type="dxa"/>
              <w:left w:w="180" w:type="dxa"/>
              <w:right w:w="180" w:type="dxa"/>
            </w:tcMar>
          </w:tcPr>
          <w:p>
            <w:pPr>
              <w:jc w:val="center"/>
            </w:pPr>
            <w:r>
              <w:rPr>
                <w:rFonts w:ascii="Arial" w:hAnsi="Arial"/>
                <w:b/>
                <w:color w:val="FFFFFF"/>
                <w:sz w:val="20"/>
              </w:rPr>
              <w:t>Operador Verilog Proposto</w:t>
            </w:r>
          </w:p>
        </w:tc>
        <w:tc>
          <w:tcPr>
            <w:tcW w:type="dxa" w:w="2160"/>
            <w:shd w:fill="1F3864" w:val="clear"/>
            <w:tcMar>
              <w:top w:w="140" w:type="dxa"/>
              <w:bottom w:w="140" w:type="dxa"/>
              <w:left w:w="180" w:type="dxa"/>
              <w:right w:w="180" w:type="dxa"/>
            </w:tcMar>
          </w:tcPr>
          <w:p>
            <w:pPr>
              <w:jc w:val="center"/>
            </w:pPr>
            <w:r>
              <w:rPr>
                <w:rFonts w:ascii="Arial" w:hAnsi="Arial"/>
                <w:b/>
                <w:color w:val="FFFFFF"/>
                <w:sz w:val="20"/>
              </w:rPr>
              <w:t>Complexidade Lógica</w:t>
            </w:r>
          </w:p>
        </w:tc>
        <w:tc>
          <w:tcPr>
            <w:tcW w:type="dxa" w:w="2160"/>
            <w:shd w:fill="1F3864" w:val="clear"/>
            <w:tcMar>
              <w:top w:w="140" w:type="dxa"/>
              <w:bottom w:w="140" w:type="dxa"/>
              <w:left w:w="180" w:type="dxa"/>
              <w:right w:w="180" w:type="dxa"/>
            </w:tcMar>
          </w:tcPr>
          <w:p>
            <w:pPr>
              <w:jc w:val="center"/>
            </w:pPr>
            <w:r>
              <w:rPr>
                <w:rFonts w:ascii="Arial" w:hAnsi="Arial"/>
                <w:b/>
                <w:color w:val="FFFFFF"/>
                <w:sz w:val="20"/>
              </w:rPr>
              <w:t>Custo Físico Estimado</w:t>
            </w:r>
          </w:p>
        </w:tc>
      </w:tr>
      <w:tr>
        <w:tc>
          <w:tcPr>
            <w:tcW w:type="dxa" w:w="2160"/>
            <w:tcMar>
              <w:top w:w="100" w:type="dxa"/>
              <w:bottom w:w="100" w:type="dxa"/>
              <w:left w:w="150" w:type="dxa"/>
              <w:right w:w="150" w:type="dxa"/>
            </w:tcMar>
          </w:tcPr>
          <w:p>
            <w:pPr>
              <w:jc w:val="left"/>
            </w:pPr>
            <w:r>
              <w:rPr>
                <w:rFonts w:ascii="Arial" w:hAnsi="Arial"/>
                <w:sz w:val="19"/>
              </w:rPr>
              <w:t>flow_key</w:t>
            </w:r>
          </w:p>
        </w:tc>
        <w:tc>
          <w:tcPr>
            <w:tcW w:type="dxa" w:w="3168"/>
            <w:tcMar>
              <w:top w:w="100" w:type="dxa"/>
              <w:bottom w:w="100" w:type="dxa"/>
              <w:left w:w="150" w:type="dxa"/>
              <w:right w:w="150" w:type="dxa"/>
            </w:tcMar>
          </w:tcPr>
          <w:p>
            <w:pPr>
              <w:jc w:val="center"/>
            </w:pPr>
            <w:r>
              <w:rPr>
                <w:rFonts w:ascii="Arial" w:hAnsi="Arial"/>
                <w:sz w:val="19"/>
              </w:rPr>
              <w:t>Shift Registers na FSM</w:t>
            </w:r>
          </w:p>
        </w:tc>
        <w:tc>
          <w:tcPr>
            <w:tcW w:type="dxa" w:w="2160"/>
            <w:tcMar>
              <w:top w:w="100" w:type="dxa"/>
              <w:bottom w:w="100" w:type="dxa"/>
              <w:left w:w="150" w:type="dxa"/>
              <w:right w:w="150" w:type="dxa"/>
            </w:tcMar>
          </w:tcPr>
          <w:p>
            <w:pPr>
              <w:jc w:val="left"/>
            </w:pPr>
            <w:r>
              <w:rPr>
                <w:rFonts w:ascii="Arial" w:hAnsi="Arial"/>
                <w:sz w:val="19"/>
              </w:rPr>
              <w:t>Muito Baixa</w:t>
            </w:r>
          </w:p>
        </w:tc>
        <w:tc>
          <w:tcPr>
            <w:tcW w:type="dxa" w:w="2160"/>
            <w:tcMar>
              <w:top w:w="100" w:type="dxa"/>
              <w:bottom w:w="100" w:type="dxa"/>
              <w:left w:w="150" w:type="dxa"/>
              <w:right w:w="150" w:type="dxa"/>
            </w:tcMar>
          </w:tcPr>
          <w:p>
            <w:pPr>
              <w:jc w:val="center"/>
            </w:pPr>
            <w:r>
              <w:rPr>
                <w:rFonts w:ascii="Arial" w:hAnsi="Arial"/>
                <w:sz w:val="19"/>
              </w:rPr>
              <w:t>LUTs/FFs desprezíveis</w:t>
            </w:r>
          </w:p>
        </w:tc>
      </w:tr>
      <w:tr>
        <w:tc>
          <w:tcPr>
            <w:tcW w:type="dxa" w:w="2160"/>
            <w:tcMar>
              <w:top w:w="100" w:type="dxa"/>
              <w:bottom w:w="100" w:type="dxa"/>
              <w:left w:w="150" w:type="dxa"/>
              <w:right w:w="150" w:type="dxa"/>
            </w:tcMar>
          </w:tcPr>
          <w:p>
            <w:pPr>
              <w:jc w:val="left"/>
            </w:pPr>
            <w:r>
              <w:rPr>
                <w:rFonts w:ascii="Arial" w:hAnsi="Arial"/>
                <w:sz w:val="19"/>
              </w:rPr>
              <w:t>packet_count</w:t>
            </w:r>
          </w:p>
        </w:tc>
        <w:tc>
          <w:tcPr>
            <w:tcW w:type="dxa" w:w="3168"/>
            <w:tcMar>
              <w:top w:w="100" w:type="dxa"/>
              <w:bottom w:w="100" w:type="dxa"/>
              <w:left w:w="150" w:type="dxa"/>
              <w:right w:w="150" w:type="dxa"/>
            </w:tcMar>
          </w:tcPr>
          <w:p>
            <w:pPr>
              <w:jc w:val="center"/>
            </w:pPr>
            <w:r>
              <w:rPr>
                <w:rFonts w:ascii="Arial" w:hAnsi="Arial"/>
                <w:sz w:val="19"/>
              </w:rPr>
              <w:t>count &lt;= count + 1'b1 síncrono</w:t>
            </w:r>
          </w:p>
        </w:tc>
        <w:tc>
          <w:tcPr>
            <w:tcW w:type="dxa" w:w="2160"/>
            <w:tcMar>
              <w:top w:w="100" w:type="dxa"/>
              <w:bottom w:w="100" w:type="dxa"/>
              <w:left w:w="150" w:type="dxa"/>
              <w:right w:w="150" w:type="dxa"/>
            </w:tcMar>
          </w:tcPr>
          <w:p>
            <w:pPr>
              <w:jc w:val="left"/>
            </w:pPr>
            <w:r>
              <w:rPr>
                <w:rFonts w:ascii="Arial" w:hAnsi="Arial"/>
                <w:sz w:val="19"/>
              </w:rPr>
              <w:t>Baixa (Incremento síncrono)</w:t>
            </w:r>
          </w:p>
        </w:tc>
        <w:tc>
          <w:tcPr>
            <w:tcW w:type="dxa" w:w="2160"/>
            <w:tcMar>
              <w:top w:w="100" w:type="dxa"/>
              <w:bottom w:w="100" w:type="dxa"/>
              <w:left w:w="150" w:type="dxa"/>
              <w:right w:w="150" w:type="dxa"/>
            </w:tcMar>
          </w:tcPr>
          <w:p>
            <w:pPr>
              <w:jc w:val="center"/>
            </w:pPr>
            <w:r>
              <w:rPr>
                <w:rFonts w:ascii="Arial" w:hAnsi="Arial"/>
                <w:sz w:val="19"/>
              </w:rPr>
              <w:t>Somador de 16/32 bits</w:t>
            </w:r>
          </w:p>
        </w:tc>
      </w:tr>
      <w:tr>
        <w:tc>
          <w:tcPr>
            <w:tcW w:type="dxa" w:w="2160"/>
            <w:tcMar>
              <w:top w:w="100" w:type="dxa"/>
              <w:bottom w:w="100" w:type="dxa"/>
              <w:left w:w="150" w:type="dxa"/>
              <w:right w:w="150" w:type="dxa"/>
            </w:tcMar>
          </w:tcPr>
          <w:p>
            <w:pPr>
              <w:jc w:val="left"/>
            </w:pPr>
            <w:r>
              <w:rPr>
                <w:rFonts w:ascii="Arial" w:hAnsi="Arial"/>
                <w:sz w:val="19"/>
              </w:rPr>
              <w:t>total_length</w:t>
            </w:r>
          </w:p>
        </w:tc>
        <w:tc>
          <w:tcPr>
            <w:tcW w:type="dxa" w:w="3168"/>
            <w:tcMar>
              <w:top w:w="100" w:type="dxa"/>
              <w:bottom w:w="100" w:type="dxa"/>
              <w:left w:w="150" w:type="dxa"/>
              <w:right w:w="150" w:type="dxa"/>
            </w:tcMar>
          </w:tcPr>
          <w:p>
            <w:pPr>
              <w:jc w:val="center"/>
            </w:pPr>
            <w:r>
              <w:rPr>
                <w:rFonts w:ascii="Arial" w:hAnsi="Arial"/>
                <w:sz w:val="19"/>
              </w:rPr>
              <w:t>total &lt;= total + pkt_len</w:t>
            </w:r>
          </w:p>
        </w:tc>
        <w:tc>
          <w:tcPr>
            <w:tcW w:type="dxa" w:w="2160"/>
            <w:tcMar>
              <w:top w:w="100" w:type="dxa"/>
              <w:bottom w:w="100" w:type="dxa"/>
              <w:left w:w="150" w:type="dxa"/>
              <w:right w:w="150" w:type="dxa"/>
            </w:tcMar>
          </w:tcPr>
          <w:p>
            <w:pPr>
              <w:jc w:val="left"/>
            </w:pPr>
            <w:r>
              <w:rPr>
                <w:rFonts w:ascii="Arial" w:hAnsi="Arial"/>
                <w:sz w:val="19"/>
              </w:rPr>
              <w:t>Baixa (Acumulador linear)</w:t>
            </w:r>
          </w:p>
        </w:tc>
        <w:tc>
          <w:tcPr>
            <w:tcW w:type="dxa" w:w="2160"/>
            <w:tcMar>
              <w:top w:w="100" w:type="dxa"/>
              <w:bottom w:w="100" w:type="dxa"/>
              <w:left w:w="150" w:type="dxa"/>
              <w:right w:w="150" w:type="dxa"/>
            </w:tcMar>
          </w:tcPr>
          <w:p>
            <w:pPr>
              <w:jc w:val="center"/>
            </w:pPr>
            <w:r>
              <w:rPr>
                <w:rFonts w:ascii="Arial" w:hAnsi="Arial"/>
                <w:sz w:val="19"/>
              </w:rPr>
              <w:t>Acumulador padrão</w:t>
            </w:r>
          </w:p>
        </w:tc>
      </w:tr>
      <w:tr>
        <w:tc>
          <w:tcPr>
            <w:tcW w:type="dxa" w:w="2160"/>
            <w:tcMar>
              <w:top w:w="100" w:type="dxa"/>
              <w:bottom w:w="100" w:type="dxa"/>
              <w:left w:w="150" w:type="dxa"/>
              <w:right w:w="150" w:type="dxa"/>
            </w:tcMar>
          </w:tcPr>
          <w:p>
            <w:pPr>
              <w:jc w:val="left"/>
            </w:pPr>
            <w:r>
              <w:rPr>
                <w:rFonts w:ascii="Arial" w:hAnsi="Arial"/>
                <w:sz w:val="19"/>
              </w:rPr>
              <w:t>flow_duration</w:t>
            </w:r>
          </w:p>
        </w:tc>
        <w:tc>
          <w:tcPr>
            <w:tcW w:type="dxa" w:w="3168"/>
            <w:tcMar>
              <w:top w:w="100" w:type="dxa"/>
              <w:bottom w:w="100" w:type="dxa"/>
              <w:left w:w="150" w:type="dxa"/>
              <w:right w:w="150" w:type="dxa"/>
            </w:tcMar>
          </w:tcPr>
          <w:p>
            <w:pPr>
              <w:jc w:val="center"/>
            </w:pPr>
            <w:r>
              <w:rPr>
                <w:rFonts w:ascii="Arial" w:hAnsi="Arial"/>
                <w:sz w:val="19"/>
              </w:rPr>
              <w:t>duration &lt;= last_ts - first_ts</w:t>
            </w:r>
          </w:p>
        </w:tc>
        <w:tc>
          <w:tcPr>
            <w:tcW w:type="dxa" w:w="2160"/>
            <w:tcMar>
              <w:top w:w="100" w:type="dxa"/>
              <w:bottom w:w="100" w:type="dxa"/>
              <w:left w:w="150" w:type="dxa"/>
              <w:right w:w="150" w:type="dxa"/>
            </w:tcMar>
          </w:tcPr>
          <w:p>
            <w:pPr>
              <w:jc w:val="left"/>
            </w:pPr>
            <w:r>
              <w:rPr>
                <w:rFonts w:ascii="Arial" w:hAnsi="Arial"/>
                <w:sz w:val="19"/>
              </w:rPr>
              <w:t>Moderada (Fora do pipeline)</w:t>
            </w:r>
          </w:p>
        </w:tc>
        <w:tc>
          <w:tcPr>
            <w:tcW w:type="dxa" w:w="2160"/>
            <w:tcMar>
              <w:top w:w="100" w:type="dxa"/>
              <w:bottom w:w="100" w:type="dxa"/>
              <w:left w:w="150" w:type="dxa"/>
              <w:right w:w="150" w:type="dxa"/>
            </w:tcMar>
          </w:tcPr>
          <w:p>
            <w:pPr>
              <w:jc w:val="center"/>
            </w:pPr>
            <w:r>
              <w:rPr>
                <w:rFonts w:ascii="Arial" w:hAnsi="Arial"/>
                <w:sz w:val="19"/>
              </w:rPr>
              <w:t>Subtrator combinacional</w:t>
            </w:r>
          </w:p>
        </w:tc>
      </w:tr>
      <w:tr>
        <w:tc>
          <w:tcPr>
            <w:tcW w:type="dxa" w:w="2160"/>
            <w:tcMar>
              <w:top w:w="100" w:type="dxa"/>
              <w:bottom w:w="100" w:type="dxa"/>
              <w:left w:w="150" w:type="dxa"/>
              <w:right w:w="150" w:type="dxa"/>
            </w:tcMar>
          </w:tcPr>
          <w:p>
            <w:pPr>
              <w:jc w:val="left"/>
            </w:pPr>
            <w:r>
              <w:rPr>
                <w:rFonts w:ascii="Arial" w:hAnsi="Arial"/>
                <w:sz w:val="19"/>
              </w:rPr>
              <w:t>min_packet_length</w:t>
            </w:r>
          </w:p>
        </w:tc>
        <w:tc>
          <w:tcPr>
            <w:tcW w:type="dxa" w:w="3168"/>
            <w:tcMar>
              <w:top w:w="100" w:type="dxa"/>
              <w:bottom w:w="100" w:type="dxa"/>
              <w:left w:w="150" w:type="dxa"/>
              <w:right w:w="150" w:type="dxa"/>
            </w:tcMar>
          </w:tcPr>
          <w:p>
            <w:pPr>
              <w:jc w:val="center"/>
            </w:pPr>
            <w:r>
              <w:rPr>
                <w:rFonts w:ascii="Arial" w:hAnsi="Arial"/>
                <w:sz w:val="19"/>
              </w:rPr>
              <w:t>min &lt;= (len &lt; min) ? len : min</w:t>
            </w:r>
          </w:p>
        </w:tc>
        <w:tc>
          <w:tcPr>
            <w:tcW w:type="dxa" w:w="2160"/>
            <w:tcMar>
              <w:top w:w="100" w:type="dxa"/>
              <w:bottom w:w="100" w:type="dxa"/>
              <w:left w:w="150" w:type="dxa"/>
              <w:right w:w="150" w:type="dxa"/>
            </w:tcMar>
          </w:tcPr>
          <w:p>
            <w:pPr>
              <w:jc w:val="left"/>
            </w:pPr>
            <w:r>
              <w:rPr>
                <w:rFonts w:ascii="Arial" w:hAnsi="Arial"/>
                <w:sz w:val="19"/>
              </w:rPr>
              <w:t>Moderada (Comparador 1 ciclo)</w:t>
            </w:r>
          </w:p>
        </w:tc>
        <w:tc>
          <w:tcPr>
            <w:tcW w:type="dxa" w:w="2160"/>
            <w:tcMar>
              <w:top w:w="100" w:type="dxa"/>
              <w:bottom w:w="100" w:type="dxa"/>
              <w:left w:w="150" w:type="dxa"/>
              <w:right w:w="150" w:type="dxa"/>
            </w:tcMar>
          </w:tcPr>
          <w:p>
            <w:pPr>
              <w:jc w:val="center"/>
            </w:pPr>
            <w:r>
              <w:rPr>
                <w:rFonts w:ascii="Arial" w:hAnsi="Arial"/>
                <w:sz w:val="19"/>
              </w:rPr>
              <w:t>Multiplexador / Comparador</w:t>
            </w:r>
          </w:p>
        </w:tc>
      </w:tr>
      <w:tr>
        <w:tc>
          <w:tcPr>
            <w:tcW w:type="dxa" w:w="2160"/>
            <w:tcMar>
              <w:top w:w="100" w:type="dxa"/>
              <w:bottom w:w="100" w:type="dxa"/>
              <w:left w:w="150" w:type="dxa"/>
              <w:right w:w="150" w:type="dxa"/>
            </w:tcMar>
          </w:tcPr>
          <w:p>
            <w:pPr>
              <w:jc w:val="left"/>
            </w:pPr>
            <w:r>
              <w:rPr>
                <w:rFonts w:ascii="Arial" w:hAnsi="Arial"/>
                <w:sz w:val="19"/>
              </w:rPr>
              <w:t>max_packet_length</w:t>
            </w:r>
          </w:p>
        </w:tc>
        <w:tc>
          <w:tcPr>
            <w:tcW w:type="dxa" w:w="3168"/>
            <w:tcMar>
              <w:top w:w="100" w:type="dxa"/>
              <w:bottom w:w="100" w:type="dxa"/>
              <w:left w:w="150" w:type="dxa"/>
              <w:right w:w="150" w:type="dxa"/>
            </w:tcMar>
          </w:tcPr>
          <w:p>
            <w:pPr>
              <w:jc w:val="center"/>
            </w:pPr>
            <w:r>
              <w:rPr>
                <w:rFonts w:ascii="Arial" w:hAnsi="Arial"/>
                <w:sz w:val="19"/>
              </w:rPr>
              <w:t>max &lt;= (len &gt; max) ? len : max</w:t>
            </w:r>
          </w:p>
        </w:tc>
        <w:tc>
          <w:tcPr>
            <w:tcW w:type="dxa" w:w="2160"/>
            <w:tcMar>
              <w:top w:w="100" w:type="dxa"/>
              <w:bottom w:w="100" w:type="dxa"/>
              <w:left w:w="150" w:type="dxa"/>
              <w:right w:w="150" w:type="dxa"/>
            </w:tcMar>
          </w:tcPr>
          <w:p>
            <w:pPr>
              <w:jc w:val="left"/>
            </w:pPr>
            <w:r>
              <w:rPr>
                <w:rFonts w:ascii="Arial" w:hAnsi="Arial"/>
                <w:sz w:val="19"/>
              </w:rPr>
              <w:t>Moderada (Comparador 1 ciclo)</w:t>
            </w:r>
          </w:p>
        </w:tc>
        <w:tc>
          <w:tcPr>
            <w:tcW w:type="dxa" w:w="2160"/>
            <w:tcMar>
              <w:top w:w="100" w:type="dxa"/>
              <w:bottom w:w="100" w:type="dxa"/>
              <w:left w:w="150" w:type="dxa"/>
              <w:right w:w="150" w:type="dxa"/>
            </w:tcMar>
          </w:tcPr>
          <w:p>
            <w:pPr>
              <w:jc w:val="center"/>
            </w:pPr>
            <w:r>
              <w:rPr>
                <w:rFonts w:ascii="Arial" w:hAnsi="Arial"/>
                <w:sz w:val="19"/>
              </w:rPr>
              <w:t>Multiplexador / Comparador</w:t>
            </w:r>
          </w:p>
        </w:tc>
      </w:tr>
    </w:tbl>
    <w:p/>
    <w:p>
      <w:pPr>
        <w:keepNext/>
        <w:spacing w:before="360" w:after="120"/>
      </w:pPr>
      <w:r>
        <w:rPr>
          <w:rFonts w:ascii="Arial" w:hAnsi="Arial"/>
          <w:b/>
          <w:color w:val="1F3864"/>
          <w:sz w:val="32"/>
        </w:rPr>
        <w:t>5. Metodologia de Validação e Simulação</w:t>
      </w:r>
    </w:p>
    <w:p>
      <w:r>
        <w:t>A validação síncrona do sistema será estruturada em um ambiente de co-simulação offline para mitigar custos de bancada. Inicialmente, uma ferramenta em Python realizará a leitura de capturas PCAP padrão e processará as transições temporais de tráfego, escrevendo previamente arquivos estruturados de estímulos (data, timestamp e delimitadores lógicos). Este arquivo alimentará o Testbench em Verilog síncrono, injetando as palavras de 64 bits em conformidade com o handshaking.</w:t>
      </w:r>
    </w:p>
    <w:p>
      <w:r>
        <w:t>Ao término da simulação do hardware, o Testbench realizará um dump das entradas válidas da Flow Table interna para um arquivo de saída de texto. Um módulo correspondente de validação em Python realizará a análise bit-exact entre o dump produzido pelo circuito Verilog e o resultado de processamento lógico de referência do software. A corretude da PoC será atestada mediante concordância matemática de 100% de precisão sobre o conjunto reduzido de recursos lógicos extraídos. A viabilidade física do projeto será estimada gerando relatórios de síntese no Vivado Design Suite para mapear fatias lógicas, flip-flops, e consumo de blocos BRAM.</w:t>
      </w:r>
    </w:p>
    <w:p>
      <w:pPr>
        <w:keepNext/>
        <w:spacing w:before="360" w:after="120"/>
      </w:pPr>
      <w:r>
        <w:rPr>
          <w:rFonts w:ascii="Arial" w:hAnsi="Arial"/>
          <w:b/>
          <w:color w:val="1F3864"/>
          <w:sz w:val="32"/>
        </w:rPr>
        <w:t>6. Referências Bibliográficas</w:t>
      </w:r>
    </w:p>
    <w:p>
      <w:pPr>
        <w:spacing w:after="80"/>
        <w:ind w:left="360" w:hanging="360"/>
      </w:pPr>
      <w:r>
        <w:rPr>
          <w:rFonts w:ascii="Arial" w:hAnsi="Arial"/>
          <w:sz w:val="20"/>
        </w:rPr>
        <w:t>AKEM, A. T.-J.; FRAYSSE, G.; FIORE, M. Encrypted Traffic Classification at Line Rate in Programmable Switches with Machine Learning. IEEE/IFIP Network Operations and Management Symposium (NOMS), 2024.</w:t>
      </w:r>
    </w:p>
    <w:p>
      <w:pPr>
        <w:spacing w:after="80"/>
        <w:ind w:left="360" w:hanging="360"/>
      </w:pPr>
      <w:r>
        <w:rPr>
          <w:rFonts w:ascii="Arial" w:hAnsi="Arial"/>
          <w:sz w:val="20"/>
        </w:rPr>
        <w:t>KILIÇ, S.; ŞENGÜL, G. Generalization Limits and Feature Importance Ambiguity in ML-Based Intrusion Detection Systems. IEEE Access, 2026.</w:t>
      </w:r>
    </w:p>
    <w:p>
      <w:pPr>
        <w:spacing w:after="80"/>
        <w:ind w:left="360" w:hanging="360"/>
      </w:pPr>
      <w:r>
        <w:rPr>
          <w:rFonts w:ascii="Arial" w:hAnsi="Arial"/>
          <w:sz w:val="20"/>
        </w:rPr>
        <w:t>SARHAN, M.; LAYEGHY, S.; PORTMANN, M. Towards a Standard Feature Set for Network Intrusion Detection System Datasets. Mobile Networks and Applications, 2022.</w:t>
      </w:r>
    </w:p>
    <w:p>
      <w:pPr>
        <w:spacing w:after="80"/>
        <w:ind w:left="360" w:hanging="360"/>
      </w:pPr>
      <w:r>
        <w:rPr>
          <w:rFonts w:ascii="Arial" w:hAnsi="Arial"/>
          <w:sz w:val="20"/>
        </w:rPr>
        <w:t>UMER, M. A.; RAMZAN, S.; BI, Y. Flow-based Intrusion Detection Techniques and Challenges: A Survey. Computers &amp; Security, v. 66, p. 118-132, 2017.</w:t>
      </w:r>
    </w:p>
    <w:p>
      <w:pPr>
        <w:spacing w:after="80"/>
        <w:ind w:left="360" w:hanging="360"/>
      </w:pPr>
      <w:r>
        <w:rPr>
          <w:rFonts w:ascii="Arial" w:hAnsi="Arial"/>
          <w:sz w:val="20"/>
        </w:rPr>
        <w:t>VIEGAS, E., et al. Towards an Energy-Efficient Anomaly-Based Intrusion Detection Engine for Embedded Systems. IEEE Transactions on Computers, v. 69, n. 11, p. 1637-1647, 2020.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