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comparativo da</w:t>
        <w:br/>
        <w:t>seleção de bits do CRC16</w:t>
      </w:r>
    </w:p>
    <w:p>
      <w:pPr>
        <w:pStyle w:val="Subtitle"/>
      </w:pPr>
      <w:r>
        <w:t>Revisão da geração do índice para a Flow Table de 32 entradas</w:t>
      </w:r>
    </w:p>
    <w:p>
      <w:pPr>
        <w:keepNext w:val="0"/>
      </w:pPr>
      <w:r>
        <w:rPr>
          <w:sz w:val="20"/>
        </w:rPr>
        <w:t>TCC em arquitetura FPGA para extração de features de fluxos TCP/IP</w:t>
      </w:r>
    </w:p>
    <w:p>
      <w:pPr>
        <w:keepNext w:val="0"/>
      </w:pPr>
      <w:r>
        <w:rPr>
          <w:sz w:val="20"/>
        </w:rPr>
        <w:t>Responsável pela pesquisa: Samuel Josias Ross</w:t>
        <w:br/>
        <w:t>Equipe: Bruno, Herman e Samuel  |  19 de setembro de 2026</w:t>
      </w:r>
    </w:p>
    <w:p>
      <w:pPr>
        <w:keepNext w:val="0"/>
      </w:pPr>
      <w:r>
        <w:rPr>
          <w:b/>
        </w:rPr>
        <w:t>Decisão recomendada.</w:t>
      </w:r>
      <w:r>
        <w:t xml:space="preserve"> Adotar provisoriamente crc_value[9:5] na prova de conceito, mantendo o CRC-16/CCITT-FALSE e o índice de 5 bits. Nos cenários apresentados, a mudança melhora a distribuição dos IPs e das portas de destino com uma alteração restrita à seleção dos bits de saída. A confirmação final depende dos PCAPs do projeto e da verificação em FPGA.</w:t>
      </w:r>
    </w:p>
    <w:p>
      <w:pPr>
        <w:pStyle w:val="Heading1"/>
      </w:pPr>
      <w:r>
        <w:t>1 Evolução em relação à proposta anterior</w:t>
      </w:r>
    </w:p>
    <w:p>
      <w:pPr>
        <w:keepNext w:val="0"/>
      </w:pPr>
      <w:r>
        <w:t>O relatório anterior considerava o CRC-16 como candidato e avaliava a seleção crc_value[4:0], formada pelos cinco bits menos significativos [1]. Os testes revelaram que, em um grupo de 32 IPs de destino consecutivos, essa seleção utilizava apenas 8 posições. Esse resultado motivou a revisão da redução para 5 bits.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016"/>
        <w:gridCol w:w="3989"/>
        <w:gridCol w:w="3989"/>
      </w:tblGrid>
      <w:tr>
        <w:trPr>
          <w:cantSplit/>
          <w:tblHeader/>
        </w:trPr>
        <w:tc>
          <w:tcPr>
            <w:tcW w:type="dxa" w:w="2016"/>
            <w:vAlign w:val="center"/>
            <w:shd w:fill="27374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989"/>
            <w:vAlign w:val="center"/>
            <w:shd w:fill="27374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Proposta anterior</w:t>
            </w:r>
          </w:p>
        </w:tc>
        <w:tc>
          <w:tcPr>
            <w:tcW w:type="dxa" w:w="3989"/>
            <w:vAlign w:val="center"/>
            <w:shd w:fill="27374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Proposta atual para a PoC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Algoritmo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CRC-16/CCITT-FALSE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CRC-16/CCITT-FALSE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Seleção do índice</w:t>
            </w:r>
          </w:p>
        </w:tc>
        <w:tc>
          <w:tcPr>
            <w:tcW w:type="dxa" w:w="3989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crc_value[4:0]</w:t>
            </w:r>
          </w:p>
        </w:tc>
        <w:tc>
          <w:tcPr>
            <w:tcW w:type="dxa" w:w="3989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crc_value[9:5]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Bits selecionados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0, 1, 2, 3 e 4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5, 6, 7, 8 e 9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Saída e tabela</w:t>
            </w:r>
          </w:p>
        </w:tc>
        <w:tc>
          <w:tcPr>
            <w:tcW w:type="dxa" w:w="3989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5 bits; índices de 0 a 31; 32 entradas</w:t>
            </w:r>
          </w:p>
        </w:tc>
        <w:tc>
          <w:tcPr>
            <w:tcW w:type="dxa" w:w="3989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5 bits; índices de 0 a 31; 32 entradas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Chave de entrada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104 bits ou 13 bytes</w:t>
            </w:r>
          </w:p>
        </w:tc>
        <w:tc>
          <w:tcPr>
            <w:tcW w:type="dxa" w:w="3989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104 bits ou 13 bytes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Identificação e colisão</w:t>
            </w:r>
          </w:p>
        </w:tc>
        <w:tc>
          <w:tcPr>
            <w:tcW w:type="dxa" w:w="3989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Comparar a chave completa; sinalizar e preservar a entrada</w:t>
            </w:r>
          </w:p>
        </w:tc>
        <w:tc>
          <w:tcPr>
            <w:tcW w:type="dxa" w:w="3989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Comparar a chave completa; sinalizar e preservar a entrada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keepNext w:val="0"/>
      </w:pPr>
      <w:r>
        <w:t>A escolha de [9:5] utiliza cinco bits intermediários do CRC. Não significa usar nove ou dez bits de índice. A mudança mantém a profundidade da tabela e a interface proposta para a Hash Unit.</w:t>
      </w:r>
    </w:p>
    <w:p>
      <w:pPr>
        <w:keepNext w:val="0"/>
      </w:pPr>
      <w:r>
        <w:t>O folding por XOR também havia sido avaliado: corrigia o cenário de IPs de destino, mas reduzia para 16 as posições utilizadas nos grupos de portas e IPs de origem. Diante da restrição de simplicidade, a nova seleção oferece uma alternativa que dispensa esse folding.</w:t>
      </w:r>
    </w:p>
    <w:p>
      <w:pPr>
        <w:keepNext w:val="0"/>
      </w:pPr>
      <w:r>
        <w:rPr>
          <w:sz w:val="20"/>
        </w:rPr>
        <w:t>Os resultados descrevem modelos e testes em software. A adoção na FPGA é uma recomendação para a próxima implementação, sem pressupor que o hardware já tenha sido alterado.</w:t>
      </w:r>
    </w:p>
    <w:p>
      <w:pPr>
        <w:pStyle w:val="Heading1"/>
        <w:pageBreakBefore/>
      </w:pPr>
      <w:r>
        <w:t>2 Condições dos testes comparativos</w:t>
      </w:r>
    </w:p>
    <w:p>
      <w:pPr>
        <w:keepNext w:val="0"/>
      </w:pPr>
      <w:r>
        <w:t>Os testes utilizam CRC-16/CCITT-FALSE com polinômio 0x1021, init = 0xFFFF, refin = false, refout = false e xorout = 0x0000. O vetor conhecido "123456789" retorna 0x29B1 [2]. Os resultados foram conferidos entre o cálculo bit a bit e a função binascii.crc_hqx do Python.</w:t>
      </w:r>
    </w:p>
    <w:p>
      <w:pPr>
        <w:keepNext w:val="0"/>
      </w:pPr>
      <w:r>
        <w:t>A entrada tem 13 bytes, na ordem IP de origem, IP de destino, porta de origem, porta de destino e protocolo. Os campos são serializados do byte mais significativo para o menos significativo. A chave de referência é 10.0.0.32:49152 → 192.0.2.32:443, protocolo TCP igual a 6; em hexadecimal, 0a000020c0000220c00001bb06.</w:t>
      </w:r>
    </w:p>
    <w:p>
      <w:pPr>
        <w:keepNext w:val="0"/>
      </w:pPr>
      <w:r>
        <w:t>Cada cenário contém 32 fluxos distintos e altera apenas o campo indicado. Para interpretar quantos fluxos conseguem uma entrada, considera-se tabela inicialmente vazia, uma posição candidata por fluxo, preservação da entrada em caso de colisão e ausência de remoções.</w:t>
      </w:r>
    </w:p>
    <w:p>
      <w:pPr>
        <w:pStyle w:val="Heading1"/>
      </w:pPr>
      <w:r>
        <w:t>3 Resultados e impacto das colisões</w:t>
      </w:r>
    </w:p>
    <w:p>
      <w:pPr>
        <w:pStyle w:val="Caption"/>
      </w:pPr>
      <w:r>
        <w:t>Tabela 1  Posições utilizadas e fluxos sem entrada em cada grupo de 32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234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4234"/>
            <w:vAlign w:val="center"/>
            <w:shd w:fill="27374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 alterado</w:t>
            </w:r>
          </w:p>
        </w:tc>
        <w:tc>
          <w:tcPr>
            <w:tcW w:type="dxa" w:w="144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Posições</w:t>
              <w:br/>
              <w:t>[4:0]</w:t>
            </w:r>
          </w:p>
        </w:tc>
        <w:tc>
          <w:tcPr>
            <w:tcW w:type="dxa" w:w="144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Posições</w:t>
              <w:br/>
              <w:t>[9:5]</w:t>
            </w:r>
          </w:p>
        </w:tc>
        <w:tc>
          <w:tcPr>
            <w:tcW w:type="dxa" w:w="144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Recusados</w:t>
              <w:br/>
              <w:t>[4:0]</w:t>
            </w:r>
          </w:p>
        </w:tc>
        <w:tc>
          <w:tcPr>
            <w:tcW w:type="dxa" w:w="144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Recusados</w:t>
              <w:br/>
              <w:t>[9:5]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Porta de origem</w:t>
              <w:br/>
              <w:t>49152 a 49183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IP de origem</w:t>
              <w:br/>
              <w:t>10.0.0.32 a 10.0.0.63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IP de destino</w:t>
              <w:br/>
              <w:t>192.0.2.32 a 192.0.2.63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Porta de destino</w:t>
              <w:br/>
              <w:t>443 a 474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keepNext w:val="0"/>
      </w:pPr>
      <w:r>
        <w:t>No grupo de IPs de destino, a mudança passa de 8 para 32 posições utilizadas. Assim, os fluxos sem entrada caem de 24 para zero nesse cenário. No grupo de portas de destino, as posições aumentam de 21 para 31, e os fluxos sem entrada caem de 11 para 1. Os outros dois grupos mantêm 32 posições utilizadas.</w:t>
      </w:r>
    </w:p>
    <w:p>
      <w:pPr>
        <w:keepNext w:val="0"/>
      </w:pPr>
      <w:r>
        <w:t>A contagem de recusados refere-se a fluxos distintos que não conseguem ser armazenados. Ela não representa a quantidade de pacotes descartados, pois cada fluxo pode conter vários pacotes.</w:t>
      </w:r>
    </w:p>
    <w:p>
      <w:pPr>
        <w:pStyle w:val="Caption"/>
      </w:pPr>
      <w:r>
        <w:t>Tabela 2  Mesmos valores de CRC com duas seleções de índice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082"/>
        <w:gridCol w:w="2592"/>
        <w:gridCol w:w="2160"/>
        <w:gridCol w:w="2160"/>
      </w:tblGrid>
      <w:tr>
        <w:trPr>
          <w:cantSplit/>
          <w:tblHeader/>
        </w:trPr>
        <w:tc>
          <w:tcPr>
            <w:tcW w:type="dxa" w:w="3082"/>
            <w:vAlign w:val="center"/>
            <w:shd w:fill="27374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IP de destino</w:t>
            </w:r>
          </w:p>
        </w:tc>
        <w:tc>
          <w:tcPr>
            <w:tcW w:type="dxa" w:w="2592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CRC16 completo</w:t>
            </w:r>
          </w:p>
        </w:tc>
        <w:tc>
          <w:tcPr>
            <w:tcW w:type="dxa" w:w="216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Índice [4:0]</w:t>
            </w:r>
          </w:p>
        </w:tc>
        <w:tc>
          <w:tcPr>
            <w:tcW w:type="dxa" w:w="216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Índice [9:5]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192.0.2.32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0x83A4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29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192.0.2.33</w:t>
            </w:r>
          </w:p>
        </w:tc>
        <w:tc>
          <w:tcPr>
            <w:tcW w:type="dxa" w:w="2592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0xC604</w:t>
            </w:r>
          </w:p>
        </w:tc>
        <w:tc>
          <w:tcPr>
            <w:tcW w:type="dxa" w:w="216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6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192.0.2.34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0x08E4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192.0.2.35</w:t>
            </w:r>
          </w:p>
        </w:tc>
        <w:tc>
          <w:tcPr>
            <w:tcW w:type="dxa" w:w="2592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0x4D44</w:t>
            </w:r>
          </w:p>
        </w:tc>
        <w:tc>
          <w:tcPr>
            <w:tcW w:type="dxa" w:w="216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6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10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keepNext w:val="0"/>
      </w:pPr>
      <w:r>
        <w:rPr>
          <w:sz w:val="20"/>
        </w:rPr>
        <w:t>Os demais campos permanecem iguais aos da chave de referência. O CRC completo já distingue essas quatro entradas; a nova seleção aproveita uma parte do resultado que também as distingue no índice.</w:t>
      </w:r>
    </w:p>
    <w:p>
      <w:pPr>
        <w:pStyle w:val="Heading1"/>
        <w:pageBreakBefore/>
      </w:pPr>
      <w:r>
        <w:t>4 Verificações adicionais e limites da melhora</w:t>
      </w:r>
    </w:p>
    <w:p>
      <w:pPr>
        <w:keepNext w:val="0"/>
      </w:pPr>
      <w:r>
        <w:t>A verificação da influência individual dos 104 bits identificou 8 bits de entrada que não alteravam o índice [4:0] quando invertidos isoladamente. Com [9:5], todos os 104 bits influenciam ao menos um bit do índice. Isso corrige essa limitação estrutural, mas não impede colisões entre chaves que diferem em vários bits.</w:t>
      </w:r>
    </w:p>
    <w:p>
      <w:pPr>
        <w:keepNext w:val="0"/>
      </w:pPr>
      <w:r>
        <w:t>Também foram avaliadas 256 faixas por campo. Cada faixa contém 32 valores consecutivos e seu início é deslocado de 0 a 255 em relação à chave de referência. Os campos restantes são mantidos fixos. Os grupos se sobrepõem e compõem uma avaliação sintética, sem representar uma amostra de tráfego real.</w:t>
      </w:r>
    </w:p>
    <w:p>
      <w:pPr>
        <w:pStyle w:val="Caption"/>
      </w:pPr>
      <w:r>
        <w:t>Tabela 3  Média de posições utilizadas nas 256 faixas por campo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234"/>
        <w:gridCol w:w="2880"/>
        <w:gridCol w:w="2880"/>
      </w:tblGrid>
      <w:tr>
        <w:trPr>
          <w:cantSplit/>
          <w:tblHeader/>
        </w:trPr>
        <w:tc>
          <w:tcPr>
            <w:tcW w:type="dxa" w:w="4234"/>
            <w:vAlign w:val="center"/>
            <w:shd w:fill="27374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Campo alterado</w:t>
            </w:r>
          </w:p>
        </w:tc>
        <w:tc>
          <w:tcPr>
            <w:tcW w:type="dxa" w:w="288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Média com [4:0]</w:t>
            </w:r>
          </w:p>
        </w:tc>
        <w:tc>
          <w:tcPr>
            <w:tcW w:type="dxa" w:w="2880"/>
            <w:vAlign w:val="center"/>
            <w:shd w:fill="27374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20"/>
              </w:rPr>
              <w:t>Média com [9:5]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IP de origem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24,88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26,50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IP de destino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8,75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28,38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Porta de origem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27,00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26,44</w:t>
            </w:r>
          </w:p>
        </w:tc>
      </w:tr>
      <w:tr>
        <w:trPr>
          <w:cantSplit/>
        </w:trPr>
        <w:tc>
          <w:tcPr>
            <w:tcW w:type="dxa" w:w="4234"/>
            <w:vAlign w:val="center"/>
            <w:shd w:fill="F3F5F7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Porta de destino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19,00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25,88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keepNext w:val="0"/>
      </w:pPr>
      <w:r>
        <w:t>A seleção [9:5] melhora as médias para IP de origem, IP de destino e porta de destino nessa avaliação. Para porta de origem, a média cai de 27,00 para 26,44. Portanto, os testes sustentam uma escolha provisória de baixo impacto, sem demonstrar superioridade em todos os conjuntos.</w:t>
      </w:r>
    </w:p>
    <w:p>
      <w:pPr>
        <w:keepNext w:val="0"/>
      </w:pPr>
      <w:r>
        <w:t>O limite de 32 posições continua relevante. Sob o modelo de índices uniformes e independentes, 32 fluxos distintos apresentados a uma tabela vazia ocupariam cerca de 20,41 posições, em média, sem remoções. A estimativa de 11,59 fluxos sem entrada é uma referência probabilística; ela não prevê o resultado de cada conjunto estruturado das tabelas anteriores.</w:t>
      </w:r>
    </w:p>
    <w:p>
      <w:pPr>
        <w:pStyle w:val="Heading1"/>
      </w:pPr>
      <w:r>
        <w:t>5 Alteração proposta na implementação</w:t>
      </w:r>
    </w:p>
    <w:p>
      <w:pPr>
        <w:keepNext w:val="0"/>
      </w:pPr>
      <w:r>
        <w:t>A alteração se restringe à expressão que gera o índice a partir do CRC final. A atribuição abaixo deve ser aplicada no ponto do RTL em que o resultado completo está disponível, preservando o controle valid/ready existente.</w:t>
      </w:r>
    </w:p>
    <w:p>
      <w:pPr>
        <w:keepLines/>
        <w:spacing w:line="240" w:lineRule="auto" w:after="160"/>
      </w:pPr>
      <w:r>
        <w:rPr>
          <w:rFonts w:ascii="Liberation Mono" w:hAnsi="Liberation Mono" w:eastAsia="Arial" w:cs="Arial"/>
          <w:sz w:val="18"/>
        </w:rPr>
        <w:t>// Seleção anterior</w:t>
        <w:br/>
        <w:t>assign hash_index = crc_value[4:0];</w:t>
        <w:br/>
        <w:br/>
        <w:t>// Seleção proposta</w:t>
        <w:br/>
        <w:t>assign hash_index = crc_value[9:5];</w:t>
      </w:r>
    </w:p>
    <w:p>
      <w:pPr>
        <w:keepNext w:val="0"/>
      </w:pPr>
      <w:r>
        <w:t>A seleção de uma fatia fixa do vetor é uma ligação de bits e não acrescenta operações aritméticas ao CRC. Quando o CRC completo já é calculado, essa alteração não exige novos ciclos de cálculo nem aumento da memória da Flow Table. LUTs, frequência e temporização devem ser confirmados pela síntese, pois o conjunto de saídas utilizadas pode influenciar a otimização.</w:t>
      </w:r>
    </w:p>
    <w:p>
      <w:pPr>
        <w:keepNext w:val="0"/>
      </w:pPr>
      <w:r>
        <w:t>Enquanto output_valid estiver ativo e output_ready estiver inativo, o índice deve permanecer estável. A comparação dos 104 bits da chave e a sinalização de colisão continuam necessárias. A mudança na seleção do índice não substitui essas funções do Controller.</w:t>
      </w:r>
    </w:p>
    <w:p>
      <w:pPr>
        <w:pStyle w:val="Heading1"/>
        <w:pageBreakBefore/>
      </w:pPr>
      <w:r>
        <w:t>6 Recomendação e validação da prova de conceito</w:t>
      </w:r>
    </w:p>
    <w:p>
      <w:pPr>
        <w:keepNext w:val="0"/>
      </w:pPr>
      <w:r>
        <w:t>Recomenda-se CRC-16/CCITT-FALSE com hash_index = crc_value[9:5] para a primeira PoC, considerando a restrição de simplicidade. A mudança corrige a concentração mais grave observada nos cenários apresentados e preserva a arquitetura de 32 entradas. O uso de CRC como hash em FPGA tem respaldo na literatura; a preferência por esta seleção específica se apoia nos testes deste relatório [3].</w:t>
      </w:r>
    </w:p>
    <w:p>
      <w:pPr>
        <w:keepNext w:val="0"/>
      </w:pPr>
      <w:r>
        <w:t>A validação necessária para confirmar a proposta pode ser mantida curta e concentrada na alteração:</w:t>
      </w:r>
    </w:p>
    <w:p>
      <w:pPr>
        <w:pStyle w:val="ListNumber"/>
        <w:spacing w:after="140"/>
      </w:pPr>
      <w:r>
        <w:t>Confirmar com o grupo a ordem dos 13 bytes e os parâmetros completos do CRC; atualizar o modelo Python e o RTL com a mesma seleção [9:5].</w:t>
      </w:r>
    </w:p>
    <w:p>
      <w:pPr>
        <w:pStyle w:val="ListNumber"/>
        <w:spacing w:after="140"/>
      </w:pPr>
      <w:r>
        <w:t>Reproduzir os quatro cenários da Tabela 1 e os vetores da Tabela 2 no testbench, verificando determinismo do índice e igualdade com o modelo de referência.</w:t>
      </w:r>
    </w:p>
    <w:p>
      <w:pPr>
        <w:pStyle w:val="ListNumber"/>
        <w:spacing w:after="140"/>
      </w:pPr>
      <w:r>
        <w:t>Executar os PCAPs do projeto e registrar fluxos distintos, entradas ocupadas, fluxos sem entrada e pacotes afetados por colisões.</w:t>
      </w:r>
    </w:p>
    <w:p>
      <w:pPr>
        <w:pStyle w:val="ListNumber"/>
        <w:spacing w:after="140"/>
      </w:pPr>
      <w:r>
        <w:t>Verificar a estabilidade durante backpressure, a preservação de entradas em colisões e a síntese com as metas de clock e vazão do projeto.</w:t>
      </w:r>
    </w:p>
    <w:p>
      <w:pPr>
        <w:keepNext w:val="0"/>
      </w:pPr>
      <w:r>
        <w:rPr>
          <w:b/>
        </w:rPr>
        <w:t>Conclusão técnica.</w:t>
      </w:r>
      <w:r>
        <w:t xml:space="preserve"> Nas condições avaliadas, selecionar os cinco bits menos significativos causou concentração excessiva em determinados padrões de chaves, sobretudo nos IPs de destino sequenciais. Selecionar os bits de 5 a 9 apresentou melhor resultado nesses cenários com uma mudança mínima na geração do índice. A proposta mantém o caráter preliminar: não elimina colisões e deve ser confirmada com o tráfego e a FPGA do projeto.</w:t>
      </w:r>
    </w:p>
    <w:p>
      <w:pPr>
        <w:pStyle w:val="Heading1"/>
      </w:pPr>
      <w:r>
        <w:t>7 Referências</w:t>
      </w:r>
    </w:p>
    <w:p>
      <w:pPr>
        <w:keepNext w:val="0"/>
        <w:keepLines/>
        <w:spacing w:line="252" w:lineRule="auto"/>
      </w:pPr>
      <w:r>
        <w:rPr>
          <w:sz w:val="20"/>
        </w:rPr>
        <w:t>[1] Análise da função hash para a Flow Table. Relatório de apoio à pesquisa de Samuel Josias Ross, 18 de setembro de 2026. Documento anterior: Analise_CRC16_Flow_Table_TCC_Samuel.docx. Contém a avaliação de crc_value[4:0] e do folding por XOR.</w:t>
      </w:r>
    </w:p>
    <w:p>
      <w:pPr>
        <w:keepNext w:val="0"/>
        <w:keepLines/>
        <w:spacing w:line="252" w:lineRule="auto"/>
      </w:pPr>
      <w:r>
        <w:rPr>
          <w:sz w:val="20"/>
        </w:rPr>
        <w:t xml:space="preserve">[2] CRC REVENG. Catalogue of parametrised CRC algorithms. Entrada CRC-16/IBM-3740, também denominada CRC-16/CCITT-FALSE. </w:t>
      </w:r>
      <w:hyperlink r:id="rId9">
        <w:r>
          <w:rPr>
            <w:color w:val="173D65"/>
            <w:sz w:val="20"/>
            <w:u w:val="single"/>
          </w:rPr>
          <w:t>Parâmetros e vetor de verificação</w:t>
        </w:r>
      </w:hyperlink>
    </w:p>
    <w:p>
      <w:pPr>
        <w:keepNext w:val="0"/>
        <w:keepLines/>
        <w:spacing w:line="252" w:lineRule="auto"/>
      </w:pPr>
      <w:r>
        <w:rPr>
          <w:sz w:val="20"/>
        </w:rPr>
        <w:t xml:space="preserve">[3] ZÁVODNÍK, Tomáš; KEKELY, Lukáš; PUŠ, Viktor. CRC based hashing in FPGA using DSP blocks. DDECS, 2014, p. 179–182. </w:t>
      </w:r>
      <w:hyperlink r:id="rId10">
        <w:r>
          <w:rPr>
            <w:color w:val="173D65"/>
            <w:sz w:val="20"/>
            <w:u w:val="single"/>
          </w:rPr>
          <w:t>Texto integral</w:t>
        </w:r>
      </w:hyperlink>
    </w:p>
    <w:p>
      <w:pPr>
        <w:keepNext w:val="0"/>
      </w:pPr>
      <w:r>
        <w:rPr>
          <w:sz w:val="20"/>
        </w:rPr>
        <w:t>Os valores das Tabelas 1, 2 e 3 correspondem a cálculos em software sobre os conjuntos descritos neste relatório. As referências externas sustentam os parâmetros do CRC e a abordagem de hardware, não os resultados específicos da comparação entre [4:0] e [9:5].</w:t>
      </w:r>
    </w:p>
    <w:sectPr w:rsidR="00FC693F" w:rsidRPr="0006063C" w:rsidSect="00034616">
      <w:footerReference w:type="default" r:id="rId11"/>
      <w:pgSz w:w="12240" w:h="15840"/>
      <w:pgMar w:top="1037" w:right="1123" w:bottom="979" w:left="1123" w:header="288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Página </w:t>
    </w:r>
    <w:fldSimple w:instr="PAGE"/>
    <w:r>
      <w:rPr>
        <w:sz w:val="18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Arial" w:hAnsi="Arial" w:eastAsia="Arial" w:cs="Arial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 w:line="245" w:lineRule="auto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45" w:lineRule="auto"/>
      <w:outlineLvl w:val="1"/>
    </w:pPr>
    <w:rPr>
      <w:rFonts w:cstheme="majorBidi" w:ascii="Arial" w:hAnsi="Arial" w:eastAsia="Arial" w:cs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45" w:lineRule="auto" w:before="0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45" w:lineRule="auto"/>
    </w:pPr>
    <w:rPr>
      <w:rFonts w:cstheme="majorBidi" w:ascii="Arial" w:hAnsi="Arial" w:eastAsia="Arial" w:cs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after="100"/>
    </w:pPr>
    <w:rPr>
      <w:rFonts w:ascii="Arial" w:hAnsi="Arial" w:eastAsia="Arial" w:cs="Arial"/>
      <w:b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veng.sourceforge.io/crc-catalogue/16.htm#crc.cat.crc-16-ibm-3740" TargetMode="External"/><Relationship Id="rId10" Type="http://schemas.openxmlformats.org/officeDocument/2006/relationships/hyperlink" Target="https://www.liberouter.org/wp-content/uploads/2013/02/crc.pdf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comparativo da seleção de bits do CRC16</dc:title>
  <dc:subject>Comparação entre crc_value[4:0] e crc_value[9:5] para a Flow Table de 32 entradas</dc:subject>
  <dc:creator>Samuel Josias Ross</dc:creator>
  <cp:keywords>TCC, FPGA, Flow Table, CRC16, hash, colisões, Toeplitz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