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integração</w:t>
        <w:br/>
        <w:t>entre Parser Hash Unit e Flow Table</w:t>
      </w:r>
    </w:p>
    <w:p>
      <w:pPr>
        <w:pStyle w:val="Subtitle"/>
      </w:pPr>
      <w:r>
        <w:t>Análise de compatibilidade e plano de implementação</w:t>
      </w:r>
    </w:p>
    <w:p>
      <w:pPr>
        <w:keepNext w:val="0"/>
        <w:spacing w:after="260"/>
      </w:pPr>
      <w:r>
        <w:rPr>
          <w:sz w:val="20"/>
        </w:rPr>
        <w:t>Samuel  •  Equipe de Extração de Metadados  •  22 de setembro de 2026</w:t>
      </w:r>
    </w:p>
    <w:p>
      <w:pPr>
        <w:pStyle w:val="Heading1"/>
      </w:pPr>
      <w:r>
        <w:t>1 Avaliação da integração</w:t>
      </w:r>
    </w:p>
    <w:p>
      <w:pPr>
        <w:keepNext w:val="0"/>
      </w:pPr>
      <w:r>
        <w:t>Os documentos estão convergindo: a chave IPv4 de 104 bits, a ordem dos campos e a representação dos bytes permitem integrar o Packet Parser à proposta de Hash Unit. Para concluir a interface, é necessário corrigir a espera na saída do Parser e incorporar packet_length e timestamp à entrega de metadados.</w:t>
      </w:r>
    </w:p>
    <w:p>
      <w:pPr>
        <w:keepNext w:val="0"/>
      </w:pPr>
      <w:r>
        <w:t>Recomendo manter, nesta etapa, a proposta de CRC-16/CCITT-FALSE com índice crc_value[9:5] e a Flow Table de 32 entradas. As pendências identificadas concentram-se no comportamento das interfaces e na verificação conjunta. A seleção do CRC continua sendo uma recomendação a registrar pelo grupo. [1–3]</w:t>
      </w:r>
    </w:p>
    <w:p>
      <w:pPr>
        <w:pStyle w:val="Caption"/>
      </w:pPr>
      <w:r>
        <w:t>Tabela 1 Compatibilidade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31"/>
        <w:gridCol w:w="1382"/>
        <w:gridCol w:w="6653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138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665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Consequência para a integração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Chave e direção</w:t>
            </w:r>
          </w:p>
        </w:tc>
        <w:tc>
          <w:tcPr>
            <w:tcW w:type="dxa" w:w="138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Alinhado</w:t>
            </w:r>
          </w:p>
        </w:tc>
        <w:tc>
          <w:tcPr>
            <w:tcW w:type="dxa" w:w="665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5-tupla de 104 bits e identificação por uniflow.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Campos e bytes</w:t>
            </w:r>
          </w:p>
        </w:tc>
        <w:tc>
          <w:tcPr>
            <w:tcW w:type="dxa" w:w="138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Alinhado</w:t>
            </w:r>
          </w:p>
        </w:tc>
        <w:tc>
          <w:tcPr>
            <w:tcW w:type="dxa" w:w="665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src_ip, dst_ip, src_port, dst_port e protocol; bytes em ordem de rede.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Saída do Parser</w:t>
            </w:r>
          </w:p>
        </w:tc>
        <w:tc>
          <w:tcPr>
            <w:tcW w:type="dxa" w:w="138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Corrigir</w:t>
            </w:r>
          </w:p>
        </w:tc>
        <w:tc>
          <w:tcPr>
            <w:tcW w:type="dxa" w:w="665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O pulso de validade deve respeitar a espera do consumidor.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Tamanho do pacote</w:t>
            </w:r>
          </w:p>
        </w:tc>
        <w:tc>
          <w:tcPr>
            <w:tcW w:type="dxa" w:w="138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Completar</w:t>
            </w:r>
          </w:p>
        </w:tc>
        <w:tc>
          <w:tcPr>
            <w:tcW w:type="dxa" w:w="665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Encaminhar IPv4 Total Length em packet_length de 16 bits.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38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Completar</w:t>
            </w:r>
          </w:p>
        </w:tc>
        <w:tc>
          <w:tcPr>
            <w:tcW w:type="dxa" w:w="665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Encaminhar 64 bits; definir unidade e associação ao pacote.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Entrada e término</w:t>
            </w:r>
          </w:p>
        </w:tc>
        <w:tc>
          <w:tcPr>
            <w:tcW w:type="dxa" w:w="138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Detalhar</w:t>
            </w:r>
          </w:p>
        </w:tc>
        <w:tc>
          <w:tcPr>
            <w:tcW w:type="dxa" w:w="665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Fechar bytes válidos, EOP antecipado e finalização após todas as operações.</w:t>
            </w:r>
          </w:p>
        </w:tc>
      </w:tr>
    </w:tbl>
    <w:p>
      <w:pPr>
        <w:keepNext w:val="0"/>
        <w:spacing w:after="40"/>
      </w:pPr>
      <w:r>
        <w:rPr>
          <w:sz w:val="4"/>
        </w:rPr>
      </w:r>
    </w:p>
    <w:p>
      <w:pPr>
        <w:pStyle w:val="Heading2"/>
      </w:pPr>
      <w:r>
        <w:t>Evidências e limites da análise</w:t>
      </w:r>
    </w:p>
    <w:p>
      <w:pPr>
        <w:keepNext w:val="0"/>
        <w:spacing w:after="0"/>
      </w:pPr>
      <w:r>
        <w:t>Foram comparados o relatório do Parser [1], a especificação geral [2] e o relatório final da pesquisa de hash [3]. O Parser relata um teste TCP controlado. Os vetores deste documento foram conferidos em software. A integração do RTL, a síntese e o desempenho na FPGA ainda precisam ser demonstrados.</w:t>
      </w:r>
    </w:p>
    <w:p>
      <w:r>
        <w:br w:type="page"/>
      </w:r>
    </w:p>
    <w:p>
      <w:pPr>
        <w:pStyle w:val="Heading1"/>
      </w:pPr>
      <w:r>
        <w:t>2 Correções necessárias no relatório do Parser</w:t>
      </w:r>
    </w:p>
    <w:p>
      <w:pPr>
        <w:pStyle w:val="Heading2"/>
      </w:pPr>
      <w:r>
        <w:t>Saída válida até a aceitação</w:t>
      </w:r>
    </w:p>
    <w:p>
      <w:pPr>
        <w:keepNext w:val="0"/>
      </w:pPr>
      <w:r>
        <w:t>Nas páginas 8 e 9 de [1], OUTPUT sinaliza os metadados e retorna a IDLE no próximo ciclo. Esse comportamento não garante a entrega se a Hash Unit ou o módulo seguinte estiver ocupado. A especificação geral, seção 19, exige transferência somente quando valid e ready estão ativos. [1, 2]</w:t>
      </w:r>
    </w:p>
    <w:p>
      <w:pPr>
        <w:keepNext w:val="0"/>
      </w:pPr>
      <w:r>
        <w:t>Alterar a tabela de estados e o diagrama: em OUTPUT, manter out_valid = 1 e todos os campos estáveis enquanto out_ready = 0. Retornar a IDLE somente após out_valid &amp;&amp; out_ready. O produtor deve apresentar valid sem depender previamente de ready. Bloquear a aceitação de outro quadro enquanto não houver capacidade para preservá-lo.</w:t>
      </w:r>
    </w:p>
    <w:p>
      <w:pPr>
        <w:pStyle w:val="Heading2"/>
      </w:pPr>
      <w:r>
        <w:t>Tamanho do pacote e contagem de bytes</w:t>
      </w:r>
    </w:p>
    <w:p>
      <w:pPr>
        <w:keepNext w:val="0"/>
      </w:pPr>
      <w:r>
        <w:t>As páginas 6 e 10 de [1] ainda tratam packet_length como uma decisão pendente. Registrar explicitamente packet_length[15:0] = IPv4 Total Length, coerente com a seção 5 de [2]. Esse campo representa cabeçalho IPv4 e dados; os bytes adicionais do quadro Ethernet não integram essa medida. [4]</w:t>
      </w:r>
    </w:p>
    <w:p>
      <w:pPr>
        <w:keepNext w:val="0"/>
      </w:pPr>
      <w:r>
        <w:t>Encaminhar o valor junto à chave. A Feature Update Unit deve acumulá-lo em byte_count de 40 bits. Um pacote descartado pelo Parser não deve gerar uma transação válida para a Flow Table.</w:t>
      </w:r>
    </w:p>
    <w:p>
      <w:pPr>
        <w:pStyle w:val="Heading2"/>
      </w:pPr>
      <w:r>
        <w:t>Timestamp e associação ao pacote</w:t>
      </w:r>
    </w:p>
    <w:p>
      <w:pPr>
        <w:keepNext w:val="0"/>
      </w:pPr>
      <w:r>
        <w:t>A largura de 64 bits e a origem inicial no PCAP já constam nas seções 4 e 11 de [2]. A unidade e o instante de captura precisam ser definidos. Proponho registrar o timestamp fornecido pelo testbench na transferência do início do quadro, quando in_valid &amp;&amp; in_ready &amp;&amp; in_sop, e mantê-lo associado até a atualização da tabela.</w:t>
      </w:r>
    </w:p>
    <w:p>
      <w:pPr>
        <w:keepNext w:val="0"/>
      </w:pPr>
      <w:r>
        <w:t>O timestamp deve preservar o instante do PCAP mesmo quando ocorrer espera no hardware. Para os testes numéricos deste relatório, a unidade proposta é microssegundo, com a mesma origem temporal para todos os pacotes. Essa convenção ainda deve ser registrada no contrato compartilhado.</w:t>
      </w:r>
    </w:p>
    <w:p>
      <w:pPr>
        <w:pStyle w:val="Heading2"/>
      </w:pPr>
      <w:r>
        <w:t>Limites do quadro e conclusão do PCAP</w:t>
      </w:r>
    </w:p>
    <w:p>
      <w:pPr>
        <w:keepNext w:val="0"/>
      </w:pPr>
      <w:r>
        <w:t>Confirmar a entrada de 64 bits usada nos testes, com o primeiro byte em in_data[63:56], e definir como indicar os bytes válidos da última palavra. Explicitar o tratamento de EOP antes dos campos obrigatórios e de EOP na mesma transferência que determina um descarte. Se o fim já foi consumido, o Parser deve voltar a IDLE sem esperar um segundo EOP. [1]</w:t>
      </w:r>
    </w:p>
    <w:p>
      <w:pPr>
        <w:keepNext w:val="0"/>
        <w:spacing w:after="0"/>
      </w:pPr>
      <w:r>
        <w:t>Distinguir fim do arquivo de conclusão do processamento: se pcap_done chegar com metadados ou atualização pendentes, registrar o evento e aguardar a conclusão dessas operações antes da varredura. Também tratar o término após um pacote descartado, que não produzirá metadados. Esta é uma condição proposta para preservar o último pacote na finalização prevista em [2].</w:t>
      </w:r>
    </w:p>
    <w:p>
      <w:r>
        <w:br w:type="page"/>
      </w:r>
    </w:p>
    <w:p>
      <w:pPr>
        <w:pStyle w:val="Heading1"/>
      </w:pPr>
      <w:r>
        <w:t>3 Contrato proposto entre os módulos</w:t>
      </w:r>
    </w:p>
    <w:p>
      <w:pPr>
        <w:keepNext w:val="0"/>
      </w:pPr>
      <w:r>
        <w:t>Cada transferência deve representar um único pacote. A Flow Identification pode montar a chave a partir dos campos separados do Parser. Depois da montagem, chave, tamanho e timestamp devem permanecer associados durante o cálculo do hash e a consulta da tabela. [2, 3]</w:t>
      </w:r>
    </w:p>
    <w:p>
      <w:pPr>
        <w:pStyle w:val="Caption"/>
      </w:pPr>
      <w:r>
        <w:t>Tabela 2 Dados e controle da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936"/>
        <w:gridCol w:w="721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Sinal</w:t>
            </w:r>
          </w:p>
        </w:tc>
        <w:tc>
          <w:tcPr>
            <w:tcW w:type="dxa" w:w="93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Bits</w:t>
            </w:r>
          </w:p>
        </w:tc>
        <w:tc>
          <w:tcPr>
            <w:tcW w:type="dxa" w:w="721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Regra proposta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flow_key</w:t>
            </w:r>
          </w:p>
        </w:tc>
        <w:tc>
          <w:tcPr>
            <w:tcW w:type="dxa" w:w="93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104</w:t>
            </w:r>
          </w:p>
        </w:tc>
        <w:tc>
          <w:tcPr>
            <w:tcW w:type="dxa" w:w="721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Chave completa usada no hash e na comparação de HIT ou COLLISION.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packet_length</w:t>
            </w:r>
          </w:p>
        </w:tc>
        <w:tc>
          <w:tcPr>
            <w:tcW w:type="dxa" w:w="93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721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IPv4 Total Length do mesmo pacote.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64</w:t>
            </w:r>
          </w:p>
        </w:tc>
        <w:tc>
          <w:tcPr>
            <w:tcW w:type="dxa" w:w="721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Instante do PCAP com unidade comum para todo o sistema.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hash_index</w:t>
            </w:r>
          </w:p>
        </w:tc>
        <w:tc>
          <w:tcPr>
            <w:tcW w:type="dxa" w:w="93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21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Saída da Hash Unit; seleção crc_value[9:5].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valid e ready</w:t>
            </w:r>
          </w:p>
        </w:tc>
        <w:tc>
          <w:tcPr>
            <w:tcW w:type="dxa" w:w="93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 cada</w:t>
            </w:r>
          </w:p>
        </w:tc>
        <w:tc>
          <w:tcPr>
            <w:tcW w:type="dxa" w:w="721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Transferência em valid &amp;&amp; ready; manter dados durante a espera.</w:t>
            </w:r>
          </w:p>
        </w:tc>
      </w:tr>
    </w:tbl>
    <w:p>
      <w:pPr>
        <w:keepNext w:val="0"/>
        <w:spacing w:after="40"/>
      </w:pPr>
      <w:r>
        <w:rPr>
          <w:sz w:val="4"/>
        </w:rPr>
      </w:r>
    </w:p>
    <w:p>
      <w:pPr>
        <w:keepNext w:val="0"/>
      </w:pPr>
      <w:r>
        <w:rPr>
          <w:sz w:val="21"/>
        </w:rPr>
        <w:t>Antes do índice, os dados totalizam 184 bits: chave de 104, tamanho de 16 e timestamp de 64 bits. Após o hash, são 189 bits com o índice. Esses totais descrevem o conjunto de informações; os campos podem usar sinais separados. Os sinais de controle são adicionais.</w:t>
      </w:r>
    </w:p>
    <w:p>
      <w:pPr>
        <w:pStyle w:val="Caption"/>
      </w:pPr>
      <w:r>
        <w:t>Tabela 3 Posições da chave no vetor de 104 bits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342"/>
        <w:gridCol w:w="2880"/>
        <w:gridCol w:w="1944"/>
      </w:tblGrid>
      <w:tr>
        <w:trPr>
          <w:cantSplit/>
          <w:tblHeader/>
        </w:trPr>
        <w:tc>
          <w:tcPr>
            <w:tcW w:type="dxa" w:w="534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Posição</w:t>
            </w:r>
          </w:p>
        </w:tc>
        <w:tc>
          <w:tcPr>
            <w:tcW w:type="dxa" w:w="194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Bits</w:t>
            </w:r>
          </w:p>
        </w:tc>
      </w:tr>
      <w:tr>
        <w:trPr>
          <w:cantSplit/>
        </w:trPr>
        <w:tc>
          <w:tcPr>
            <w:tcW w:type="dxa" w:w="534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src_ip</w:t>
            </w:r>
          </w:p>
        </w:tc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20"/>
              </w:rPr>
              <w:t>[103:72]</w:t>
            </w:r>
          </w:p>
        </w:tc>
        <w:tc>
          <w:tcPr>
            <w:tcW w:type="dxa" w:w="194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</w:tr>
      <w:tr>
        <w:trPr>
          <w:cantSplit/>
        </w:trPr>
        <w:tc>
          <w:tcPr>
            <w:tcW w:type="dxa" w:w="534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dst_ip</w:t>
            </w:r>
          </w:p>
        </w:tc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20"/>
              </w:rPr>
              <w:t>[71:40]</w:t>
            </w:r>
          </w:p>
        </w:tc>
        <w:tc>
          <w:tcPr>
            <w:tcW w:type="dxa" w:w="194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</w:tr>
      <w:tr>
        <w:trPr>
          <w:cantSplit/>
        </w:trPr>
        <w:tc>
          <w:tcPr>
            <w:tcW w:type="dxa" w:w="534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src_port</w:t>
            </w:r>
          </w:p>
        </w:tc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20"/>
              </w:rPr>
              <w:t>[39:24]</w:t>
            </w:r>
          </w:p>
        </w:tc>
        <w:tc>
          <w:tcPr>
            <w:tcW w:type="dxa" w:w="194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534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dst_port</w:t>
            </w:r>
          </w:p>
        </w:tc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20"/>
              </w:rPr>
              <w:t>[23:8]</w:t>
            </w:r>
          </w:p>
        </w:tc>
        <w:tc>
          <w:tcPr>
            <w:tcW w:type="dxa" w:w="194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534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protocol</w:t>
            </w:r>
          </w:p>
        </w:tc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20"/>
              </w:rPr>
              <w:t>[7:0]</w:t>
            </w:r>
          </w:p>
        </w:tc>
        <w:tc>
          <w:tcPr>
            <w:tcW w:type="dxa" w:w="194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</w:tbl>
    <w:p>
      <w:pPr>
        <w:keepNext w:val="0"/>
        <w:spacing w:after="40"/>
      </w:pPr>
      <w:r>
        <w:rPr>
          <w:sz w:val="4"/>
        </w:rPr>
      </w:r>
    </w:p>
    <w:p>
      <w:pPr>
        <w:pStyle w:val="Heading2"/>
      </w:pPr>
      <w:r>
        <w:t>Parâmetros da Hash Unit</w:t>
      </w:r>
    </w:p>
    <w:p>
      <w:pPr>
        <w:keepNext w:val="0"/>
      </w:pPr>
      <w:r>
        <w:t>Proposta de [3]: CRC-16/CCITT-FALSE, polinômio 0x1021, inicialização 0xFFFF, refin = false, refout = false e xorout = 0x0000. Reiniciar o CRC a cada nova chave. Processar os 13 bytes da chave na ordem da Tabela 3, com o byte mais significativo de cada campo primeiro.</w:t>
      </w:r>
    </w:p>
    <w:p>
      <w:pPr>
        <w:spacing w:after="140" w:line="245" w:lineRule="auto"/>
      </w:pPr>
      <w:r>
        <w:rPr>
          <w:rFonts w:ascii="Courier New" w:hAnsi="Courier New"/>
          <w:sz w:val="20"/>
        </w:rPr>
        <w:t>flow_key = {src_ip, dst_ip, src_port, dst_port, protocol};</w:t>
        <w:br/>
        <w:t>hash_index = crc_value[9:5];</w:t>
      </w:r>
    </w:p>
    <w:p>
      <w:pPr>
        <w:keepNext w:val="0"/>
        <w:spacing w:after="0"/>
      </w:pPr>
      <w:r>
        <w:t>O índice localiza uma posição candidata. O Controller deve comparar os 104 bits para decidir HIT ou COLLISION. Documentar a latência do CRC; valid/ready permite acomodá-la. Na primeira PoC, concluir uma operação antes de aceitar a próxima no Controller. [2, 3]</w:t>
      </w:r>
    </w:p>
    <w:p>
      <w:r>
        <w:br w:type="page"/>
      </w:r>
    </w:p>
    <w:p>
      <w:pPr>
        <w:pStyle w:val="Heading1"/>
      </w:pPr>
      <w:r>
        <w:t>4 Vetores comuns e resultados esperados</w:t>
      </w:r>
    </w:p>
    <w:p>
      <w:pPr>
        <w:keepNext w:val="0"/>
      </w:pPr>
      <w:r>
        <w:t>O pacote de referência de [1], página 10, usa 192.168.1.10:52100 como origem, 8.8.8.8:443 como destino e protocolo TCP, valor 6. A chave serializada contém exatamente os bytes abaixo.</w:t>
      </w:r>
    </w:p>
    <w:p>
      <w:pPr>
        <w:spacing w:after="140" w:line="245" w:lineRule="auto"/>
      </w:pPr>
      <w:r>
        <w:rPr>
          <w:rFonts w:ascii="Courier New" w:hAnsi="Courier New"/>
          <w:sz w:val="20"/>
        </w:rPr>
        <w:t>C0 A8 01 0A 08 08 08 08 CB 84 01 BB 06</w:t>
      </w:r>
    </w:p>
    <w:p>
      <w:pPr>
        <w:keepNext w:val="0"/>
      </w:pPr>
      <w:r>
        <w:t>Aplicando os parâmetros da seção 3, o CRC completo é 0xA018 e o índice de cinco bits é 0. Os casos B, C e D são derivações propostas para ampliar o teste, mantendo os campos indicados em cada linha.</w:t>
      </w:r>
    </w:p>
    <w:p>
      <w:pPr>
        <w:pStyle w:val="Caption"/>
      </w:pPr>
      <w:r>
        <w:t>Tabela 4 Vetores de referência para a Hash Unit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5357"/>
        <w:gridCol w:w="1022"/>
        <w:gridCol w:w="907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535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Chave hexadecimal de 104 bits</w:t>
            </w:r>
          </w:p>
        </w:tc>
        <w:tc>
          <w:tcPr>
            <w:tcW w:type="dxa" w:w="102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CRC</w:t>
            </w:r>
          </w:p>
        </w:tc>
        <w:tc>
          <w:tcPr>
            <w:tcW w:type="dxa" w:w="90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Índice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19"/>
              </w:rPr>
              <w:t>A  TCP de referência</w:t>
            </w:r>
          </w:p>
        </w:tc>
        <w:tc>
          <w:tcPr>
            <w:tcW w:type="dxa" w:w="535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ourier New" w:hAnsi="Courier New"/>
                <w:sz w:val="19"/>
              </w:rPr>
              <w:t>C0A8010A08080808CB8401BB06</w:t>
            </w:r>
          </w:p>
        </w:tc>
        <w:tc>
          <w:tcPr>
            <w:tcW w:type="dxa" w:w="102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19"/>
              </w:rPr>
              <w:t>A018</w:t>
            </w:r>
          </w:p>
        </w:tc>
        <w:tc>
          <w:tcPr>
            <w:tcW w:type="dxa" w:w="90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19"/>
              </w:rPr>
              <w:t>B  Mesma tupla com protocolo UDP 17</w:t>
            </w:r>
          </w:p>
        </w:tc>
        <w:tc>
          <w:tcPr>
            <w:tcW w:type="dxa" w:w="535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ourier New" w:hAnsi="Courier New"/>
                <w:sz w:val="19"/>
              </w:rPr>
              <w:t>C0A8010A08080808CB8401BB11</w:t>
            </w:r>
          </w:p>
        </w:tc>
        <w:tc>
          <w:tcPr>
            <w:tcW w:type="dxa" w:w="102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19"/>
              </w:rPr>
              <w:t>C2CE</w:t>
            </w:r>
          </w:p>
        </w:tc>
        <w:tc>
          <w:tcPr>
            <w:tcW w:type="dxa" w:w="90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19"/>
              </w:rPr>
              <w:t>C  TCP com origem e destino invertidos</w:t>
            </w:r>
          </w:p>
        </w:tc>
        <w:tc>
          <w:tcPr>
            <w:tcW w:type="dxa" w:w="535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ourier New" w:hAnsi="Courier New"/>
                <w:sz w:val="19"/>
              </w:rPr>
              <w:t>08080808C0A8010A01BBCB8406</w:t>
            </w:r>
          </w:p>
        </w:tc>
        <w:tc>
          <w:tcPr>
            <w:tcW w:type="dxa" w:w="102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19"/>
              </w:rPr>
              <w:t>B203</w:t>
            </w:r>
          </w:p>
        </w:tc>
        <w:tc>
          <w:tcPr>
            <w:tcW w:type="dxa" w:w="90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19"/>
              </w:rPr>
              <w:t>D  TCP com porta de origem 52155</w:t>
            </w:r>
          </w:p>
        </w:tc>
        <w:tc>
          <w:tcPr>
            <w:tcW w:type="dxa" w:w="535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ourier New" w:hAnsi="Courier New"/>
                <w:sz w:val="19"/>
              </w:rPr>
              <w:t>C0A8010A08080808CBBB01BB06</w:t>
            </w:r>
          </w:p>
        </w:tc>
        <w:tc>
          <w:tcPr>
            <w:tcW w:type="dxa" w:w="1022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ourier New" w:hAnsi="Courier New"/>
                <w:sz w:val="19"/>
              </w:rPr>
              <w:t>581F</w:t>
            </w:r>
          </w:p>
        </w:tc>
        <w:tc>
          <w:tcPr>
            <w:tcW w:type="dxa" w:w="907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keepNext w:val="0"/>
        <w:spacing w:after="40"/>
      </w:pPr>
      <w:r>
        <w:rPr>
          <w:sz w:val="4"/>
        </w:rPr>
      </w:r>
    </w:p>
    <w:p>
      <w:pPr>
        <w:keepNext w:val="0"/>
      </w:pPr>
      <w:r>
        <w:t>Verificação executada em software: algoritmo bit a bit e binascii.crc_hqx com inicialização 0xFFFF produziram os mesmos resultados. O vetor padrão ASCII 123456789 também resultou em 0x29B1. Esses resultados são referências para o testbench; não representam uma simulação conjunta já executada.</w:t>
      </w:r>
    </w:p>
    <w:p>
      <w:pPr>
        <w:pStyle w:val="Heading2"/>
      </w:pPr>
      <w:r>
        <w:t>Exemplo completo de criação e atualização</w:t>
      </w:r>
    </w:p>
    <w:p>
      <w:pPr>
        <w:keepNext w:val="0"/>
      </w:pPr>
      <w:r>
        <w:t>Construir dois pacotes TCP válidos com a chave A. Os tamanhos e tempos abaixo são uma nova massa de teste proposta; não foram informados no pacote original do relatório do Parser. Inicializar a tabela vazia e usar timestamp em microssegundos.</w:t>
      </w:r>
    </w:p>
    <w:p>
      <w:pPr>
        <w:pStyle w:val="Caption"/>
      </w:pPr>
      <w:r>
        <w:t>Tabela 5 Exemplo de criação e atualização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320"/>
        <w:gridCol w:w="2923"/>
        <w:gridCol w:w="2923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Estado esperado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Após o pacote 1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Após o pacote 2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packet_length de entrada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40 bytes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60 bytes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timestamp de entrada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1.000.000 µs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1.250.000 µs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Operação e posição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MISS na posição 0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HIT na posição 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packet_count e byte_count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 e 40 bytes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2 e 100 bytes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first_timestamp e last_timestamp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1.000.000 e 1.000.000</w:t>
            </w:r>
          </w:p>
        </w:tc>
        <w:tc>
          <w:tcPr>
            <w:tcW w:type="dxa" w:w="2923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1.000.000 e 1.250.000</w:t>
            </w:r>
          </w:p>
        </w:tc>
      </w:tr>
    </w:tbl>
    <w:p>
      <w:pPr>
        <w:keepNext w:val="0"/>
        <w:spacing w:after="40"/>
      </w:pPr>
      <w:r>
        <w:rPr>
          <w:sz w:val="4"/>
        </w:rPr>
      </w:r>
    </w:p>
    <w:p>
      <w:pPr>
        <w:keepNext w:val="0"/>
        <w:spacing w:after="0"/>
      </w:pPr>
      <w:r>
        <w:t>Ao finalizar, duration deve ser 250.000 µs. Em seguida à criação de A, enviar D para testar COLLISION: ambos usam o índice 0, mas possuem chaves diferentes. A entrada de A e seus contadores devem permanecer preservados. Em testes independentes, B e C permitem verificar UDP e direção do fluxo.</w:t>
      </w:r>
    </w:p>
    <w:p>
      <w:r>
        <w:br w:type="page"/>
      </w:r>
    </w:p>
    <w:p>
      <w:pPr>
        <w:pStyle w:val="Heading1"/>
      </w:pPr>
      <w:r>
        <w:t>5 Roteiro de verificação da integração</w:t>
      </w:r>
    </w:p>
    <w:p>
      <w:pPr>
        <w:keepNext w:val="0"/>
      </w:pPr>
      <w:r>
        <w:t>Executar os testes em sequência, começando pelas interfaces e pelo vetor A. Registrar entradas, resultados esperados e obtidos, além da versão dos módulos. Todas as verificações de RTL abaixo permanecem pendentes.</w:t>
      </w:r>
    </w:p>
    <w:p>
      <w:pPr>
        <w:pStyle w:val="Caption"/>
      </w:pPr>
      <w:r>
        <w:t>Tabela 6 Testes e critérios objetivos de aceitação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21"/>
        <w:gridCol w:w="2491"/>
        <w:gridCol w:w="6854"/>
      </w:tblGrid>
      <w:tr>
        <w:trPr>
          <w:cantSplit/>
          <w:tblHeader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Teste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Estímulo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necessário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T01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TCP do caso A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Extrair a 5-tupla exata, produzir CRC A018 e índice 0; criar uma única entrada.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T02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Espera na entrada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Inserir ciclos sem transferência. Contador de bytes e extração não avançam sem in_valid &amp;&amp; in_ready.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T03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Espera na saída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Manter out_ready = 0 por vários ciclos. Valid e todos os metadados ficam estáveis; aceitar uma única vez ao liberar ready.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T04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Campos entre palavras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Verificar dst_ip nos bytes 30–33 e portas nos bytes 34–37. A mudança de estado não perde bytes da mesma palavra de 64 bits.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T05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Última palavra parcial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Variar o número de bytes válidos. Bytes de preenchimento da interface não são interpretados como parte recebida do pacote.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T06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Dois pacotes de A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Obter packet_count = 2, byte_count = 100 e duration = 250.000 µs conforme o exemplo da seção 4.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T07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UDP B e fluxo reverso C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Obter índices 22 e 16. As chaves permanecem distintas e suas entradas independentes neste conjunto de teste.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T08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Colisão entre A e D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Sinalizar COLLISION e preservar integralmente a entrada de A; liberar a operação sem esperar uma escrita que não ocorrerá.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T09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Pacotes fora do escopo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Testar VLAN, IPv6, IPv4 com opções, fragmentos e outros protocolos. Consumir até EOP e não emitir metadados válidos.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T10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Truncamento e reset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EOP antes dos campos obrigatórios ou reset no meio do pacote não geram atualização. Um novo quadro válido volta a ser processado.</w:t>
            </w:r>
          </w:p>
        </w:tc>
      </w:tr>
      <w:tr>
        <w:trPr>
          <w:cantSplit/>
        </w:trPr>
        <w:tc>
          <w:tcPr>
            <w:tcW w:type="dxa" w:w="82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Calibri" w:hAnsi="Calibri"/>
                <w:sz w:val="20"/>
              </w:rPr>
              <w:t>T11</w:t>
            </w:r>
          </w:p>
        </w:tc>
        <w:tc>
          <w:tcPr>
            <w:tcW w:type="dxa" w:w="249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Fim do PCAP com espera</w:t>
            </w:r>
          </w:p>
        </w:tc>
        <w:tc>
          <w:tcPr>
            <w:tcW w:type="dxa" w:w="6854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Concluir a última transação antes da varredura. Repetir com último quadro descartado e com última operação em colisão.</w:t>
            </w:r>
          </w:p>
        </w:tc>
      </w:tr>
    </w:tbl>
    <w:p>
      <w:pPr>
        <w:keepNext w:val="0"/>
        <w:spacing w:after="40"/>
      </w:pPr>
      <w:r>
        <w:rPr>
          <w:sz w:val="4"/>
        </w:rPr>
      </w:r>
    </w:p>
    <w:p>
      <w:pPr>
        <w:keepNext w:val="0"/>
        <w:spacing w:after="0"/>
      </w:pPr>
      <w:r>
        <w:rPr>
          <w:sz w:val="21"/>
        </w:rPr>
        <w:t>A política inicial de [1] aceita Ethernet II sem VLAN, IPv4 com IHL = 5, sem fragmentação, e TCP ou UDP. O descarte de fragmentos deve considerar MF = 1 ou Fragment Offset diferente de zero. Registrar descartes separadamente das colisões ajuda a explicar diferenças entre a contagem no PCAP e a contagem na tabela.</w:t>
      </w:r>
    </w:p>
    <w:p>
      <w:r>
        <w:br w:type="page"/>
      </w:r>
    </w:p>
    <w:p>
      <w:pPr>
        <w:pStyle w:val="Heading1"/>
      </w:pPr>
      <w:r>
        <w:t>6 Ações da equipe e entrega para integração</w:t>
      </w:r>
    </w:p>
    <w:p>
      <w:pPr>
        <w:keepNext w:val="0"/>
      </w:pPr>
      <w:r>
        <w:t>A distribuição abaixo é uma proposta de execução segundo as frentes do projeto. Os responsáveis por cada módulo devem confirmar os detalhes no documento compartilhado antes de conectar as versões do RTL.</w:t>
      </w:r>
    </w:p>
    <w:p>
      <w:pPr>
        <w:pStyle w:val="Caption"/>
      </w:pPr>
      <w:r>
        <w:t>Tabela 7 Ações propostas por frente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26"/>
        <w:gridCol w:w="6941"/>
      </w:tblGrid>
      <w:tr>
        <w:trPr>
          <w:cantSplit/>
          <w:tblHeader/>
        </w:trPr>
        <w:tc>
          <w:tcPr>
            <w:tcW w:type="dxa" w:w="322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694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24475F"/>
          </w:tcPr>
          <w:p>
            <w:pPr>
              <w:keepNext/>
              <w:spacing w:before="0" w:after="0" w:line="247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Entrega necessária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Extração de Metadados</w:t>
              <w:br/>
              <w:t>Bruno, Herman e Samuel</w:t>
            </w:r>
          </w:p>
        </w:tc>
        <w:tc>
          <w:tcPr>
            <w:tcW w:type="dxa" w:w="694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Revisar FSM e interface do Parser; incluir tamanho e timestamp; fixar montagem da chave e parâmetros do CRC. Samuel consolida os vetores e a recomendação de hash.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Extração de Features</w:t>
              <w:br/>
              <w:t>Alessandra, Elaine e Fábio</w:t>
            </w:r>
          </w:p>
        </w:tc>
        <w:tc>
          <w:tcPr>
            <w:tcW w:type="dxa" w:w="694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Conferir recepção dos metadados, comparação da chave, preservação em colisões e conclusão das operações antes da finalização.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Verificação e Interfaces</w:t>
              <w:br/>
              <w:t>Beatriz e Daniela</w:t>
            </w:r>
          </w:p>
        </w:tc>
        <w:tc>
          <w:tcPr>
            <w:tcW w:type="dxa" w:w="6941"/>
            <w:vAlign w:val="center"/>
            <w:tcMar>
              <w:top w:w="78" w:type="dxa"/>
              <w:bottom w:w="78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Calibri" w:hAnsi="Calibri"/>
                <w:sz w:val="20"/>
              </w:rPr>
              <w:t>Fixar a interface de entrada, unidade do timestamp e convenção de bytes válidos; executar e registrar os testes T01 a T11 com as demais frentes.</w:t>
            </w:r>
          </w:p>
        </w:tc>
      </w:tr>
    </w:tbl>
    <w:p>
      <w:pPr>
        <w:keepNext w:val="0"/>
        <w:spacing w:after="40"/>
      </w:pPr>
      <w:r>
        <w:rPr>
          <w:sz w:val="4"/>
        </w:rPr>
      </w:r>
    </w:p>
    <w:p>
      <w:pPr>
        <w:pStyle w:val="Heading2"/>
      </w:pPr>
      <w:r>
        <w:t>Sequência recomendada</w:t>
      </w:r>
    </w:p>
    <w:p>
      <w:pPr>
        <w:keepNext w:val="0"/>
      </w:pPr>
      <w:r>
        <w:t>Primeiro, atualizar no relatório do Parser a saída mínima, a tabela de campos, o diagrama, as transições de OUTPUT e a lista de pendências. A largura do timestamp e o uso de valid/ready já estão definidos em [2]; a unidade temporal e os detalhes do stream ainda precisam de decisão comum.</w:t>
      </w:r>
    </w:p>
    <w:p>
      <w:pPr>
        <w:keepNext w:val="0"/>
      </w:pPr>
      <w:r>
        <w:t>Depois, publicar uma única definição das interfaces e dos parâmetros, registrar a latência da Hash Unit e integrar o caminho até a Flow Table. A primeira entrega deve demonstrar o caso A e os testes de espera. Completar os demais testes antes de considerar a integração funcional concluída.</w:t>
      </w:r>
    </w:p>
    <w:p>
      <w:pPr>
        <w:keepNext w:val="0"/>
      </w:pPr>
      <w:r>
        <w:rPr>
          <w:b/>
        </w:rPr>
        <w:t>Critério de conclusão:</w:t>
      </w:r>
      <w:r>
        <w:t xml:space="preserve"> todos os testes T01 a T11 aprovados, com metadados do mesmo pacote preservados, nenhuma atualização perdida durante espera e resultados finais coerentes com a política de descarte e colisão. Medidas de LUTs, BRAM, frequência e throughput pertencem à etapa posterior de síntese e avaliação.</w:t>
      </w:r>
    </w:p>
    <w:p>
      <w:pPr>
        <w:pStyle w:val="Heading1"/>
      </w:pPr>
      <w:r>
        <w:t>7 Referências e localização das evidências</w:t>
      </w:r>
    </w:p>
    <w:p>
      <w:pPr>
        <w:keepNext w:val="0"/>
        <w:spacing w:after="120"/>
      </w:pPr>
      <w:r>
        <w:rPr>
          <w:sz w:val="19"/>
        </w:rPr>
        <w:t>[1] Equipe de Extração de Metadados. Especificação funcional do Packet Parser — PoC v1. Arquivo Especificacao_Packet_Parser_Metadados_PoC_v1.docx.pdf, 10 páginas. Evidências: convenções na p. 2; chave e escopo na p. 6; FSM nas pp. 8–9; teste e pendências na p. 10.</w:t>
      </w:r>
    </w:p>
    <w:p>
      <w:pPr>
        <w:keepNext w:val="0"/>
        <w:spacing w:after="120"/>
      </w:pPr>
      <w:r>
        <w:rPr>
          <w:sz w:val="19"/>
        </w:rPr>
        <w:t>[2] Especificação das interfaces de todos os módulos e da estrutura da Flow Table. Arquivo Especificação.pdf, 14 páginas. Seções 4–5 e 11: metadados; 13–15: operações da tabela; 17–20: finalização, comunicação e espera; 23: aceitação.</w:t>
      </w:r>
    </w:p>
    <w:p>
      <w:pPr>
        <w:keepNext w:val="0"/>
        <w:spacing w:after="120"/>
      </w:pPr>
      <w:r>
        <w:rPr>
          <w:sz w:val="19"/>
        </w:rPr>
        <w:t>[3] Relatório final da pesquisa da Hash Unit — TCC Samuel. Documento de 22 de setembro de 2026, 8 páginas. Parâmetros e serialização na p. 3; responsabilidades e validação na p. 7. Fonte da recomendação de CRC-16/CCITT-FALSE com seleção [9:5].</w:t>
      </w:r>
    </w:p>
    <w:p>
      <w:pPr>
        <w:keepNext w:val="0"/>
        <w:spacing w:after="0"/>
      </w:pPr>
      <w:r>
        <w:rPr>
          <w:sz w:val="19"/>
        </w:rPr>
        <w:t xml:space="preserve">[4] IETF. RFC 791 — Internet Protocol. Seção 3.1, definição de Total Length. Setembro de 1981. Consulta em 22 de setembro de 2026. </w:t>
      </w:r>
      <w:hyperlink r:id="rId11">
        <w:r>
          <w:rPr>
            <w:color w:val="245A81"/>
          </w:rPr>
          <w:t>rfc-editor.org/rfc/rfc791.html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79" w:left="1037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Versão 1  |  Página </w:t>
    </w:r>
    <w:fldSimple w:instr="PAGE">
      <w:r>
        <w:t>1</w:t>
      </w:r>
    </w:fldSimple>
    <w:r>
      <w:rPr>
        <w:sz w:val="16"/>
      </w:rPr>
      <w:t xml:space="preserve"> de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TCC  •  Extração de Metadados  •  Integração da PoC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20" w:after="100"/>
    </w:pPr>
    <w:rPr>
      <w:rFonts w:ascii="Calibri" w:hAnsi="Calibri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fc-editor.org/rfc/rfc79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integração entre Parser Hash Unit e Flow Table</dc:title>
  <dc:subject>Compatibilidade das interfaces e ações para integração da prova de conceito</dc:subject>
  <dc:creator>Samuel</dc:creator>
  <cp:keywords>TCC, FPGA, Packet Parser, Hash Unit, Flow Table, integração</cp:keywords>
  <dc:description>generated by python-docx</dc:description>
  <cp:lastModifiedBy/>
  <cp:revision>1</cp:revision>
  <dcterms:created xsi:type="dcterms:W3CDTF">2026-09-22T00:00:00Z</dcterms:created>
  <dcterms:modified xsi:type="dcterms:W3CDTF">2026-09-22T00:00:00Z</dcterms:modified>
  <cp:category/>
  <dc:language>pt-BR</dc:language>
</cp:coreProperties>
</file>