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Avaliação de Viabilidade e Precisão do CLTMotor (Regras 2026): Diretrizes de Engenharia e Análise de Impacto Fiscal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modelagem de sistemas de simulação e conversão de remunerações sob as regras da Consolidação das Leis do Trabalho (CLT) exige alta precisão matemática e conformidade absoluta com as alterações na legislação fiscal e previdenciária. Em 2026, a entrada em vigor da reforma estrutural do Imposto de Renda das Pessoas Físicas (IRPF), promovida pela Lei nº 15.270/2025, e a reestruturação das tabelas de contribuição do Instituto Nacional do Seguro Social (INSS), consolidada pela Portaria Interministerial MPS/MF nº 13/2026, redefiniram os parâmetros de cálculo da folha de pagamento no Brasil.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análise técnica detalhada a seguir avalia se a sequência de cálculo proposta para o motor de cálculos (denominado CLTMotor) atende aos requisitos necessários para prover dados fidedignos e com precisão centesimal para candidatos a vagas de emprego e gestores de recursos humanos.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Rigor Técnico na Contribuição Previdenciária (INSS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 primeiro estágio do CLTMotor consiste na apuração do desconto previdenciário do empregado, o qual deve ser calculado de forma estritamente progressiva sobre o salário bruto.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Conforme determinado pela Portaria Interministerial MPS/MF nº 13/2026, o teto dos benefícios e das contribuições do INSS foi reajustado em 3,90% com base no Índice Nacional de Preços ao Consumidor (INPC) do ano anterior, fixando-se em </w:t>
      </w:r>
      <w:r w:rsidDel="00000000" w:rsidR="00000000" w:rsidRPr="00000000">
        <w:rPr>
          <w:rFonts w:ascii="Arial" w:cs="Arial" w:eastAsia="Arial" w:hAnsi="Arial"/>
          <w:color w:val="1f1f1f"/>
        </w:rPr>
        <w:drawing>
          <wp:inline distB="19050" distT="19050" distL="19050" distR="19050">
            <wp:extent cx="920130" cy="237965"/>
            <wp:effectExtent b="0" l="0" r="0" t="0"/>
            <wp:docPr id="2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 piso previdenciário, indexado ao salário mínimo nacional, foi estabelecido em </w:t>
      </w:r>
      <w:r w:rsidDel="00000000" w:rsidR="00000000" w:rsidRPr="00000000">
        <w:rPr>
          <w:rFonts w:ascii="Arial" w:cs="Arial" w:eastAsia="Arial" w:hAnsi="Arial"/>
          <w:color w:val="1f1f1f"/>
        </w:rPr>
        <w:drawing>
          <wp:inline distB="19050" distT="19050" distL="19050" distR="19050">
            <wp:extent cx="920130" cy="237965"/>
            <wp:effectExtent b="0" l="0" r="0" t="0"/>
            <wp:docPr id="22"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assegurar a precisão centesimal exigida, o motor de cálculo não pode aplicar alíquotas simples de forma linear sobre o montante salarial bruto. O algoritmo deve operar de forma fatiada pelas faixas de contribuição ou, para simplificação computacional idêntica, utilizar a metodologia da "parcela a deduzir".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Algumas fontes de mercado ou estimativas preliminares divulgadas por blogs corporativos apresentam faixas e alíquotas distorcidas (como a incidência equivocada de uma alíquota de 8% na primeira faixa).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parametrização oficial e correta para o ano de 2026, com os respectivos fatores de dedução calculados matematicamente, está estruturada na tabela abaixo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Faixa de Salário de Contribuição (R$)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Alíquota Nominal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Parcela a Deduzir (R$)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Até 1.621,00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1.621,01 até 2.902,84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2.902,85 até 4.354,27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4.354,28 até 8.475,55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198,49</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teto de contribuição previdenciária do empregado para 2026 é fixado em </w:t>
      </w:r>
      <w:r w:rsidDel="00000000" w:rsidR="00000000" w:rsidRPr="00000000">
        <w:rPr>
          <w:rFonts w:ascii="Arial" w:cs="Arial" w:eastAsia="Arial" w:hAnsi="Arial"/>
          <w:color w:val="1f1f1f"/>
        </w:rPr>
        <w:drawing>
          <wp:inline distB="19050" distT="19050" distL="19050" distR="19050">
            <wp:extent cx="776635" cy="23774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Este valor é o resultado da aplicação da alíquota da última faixa com a correspondente dedução da parcela de ajuste: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14849"/>
            <wp:effectExtent b="0" l="0" r="0" t="0"/>
            <wp:docPr id="24"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05500" cy="4148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Para salários brutos iguais ou superiores a </w:t>
      </w:r>
      <w:r w:rsidDel="00000000" w:rsidR="00000000" w:rsidRPr="00000000">
        <w:rPr>
          <w:rFonts w:ascii="Arial" w:cs="Arial" w:eastAsia="Arial" w:hAnsi="Arial"/>
          <w:color w:val="1f1f1f"/>
        </w:rPr>
        <w:drawing>
          <wp:inline distB="19050" distT="19050" distL="19050" distR="19050">
            <wp:extent cx="920130" cy="237965"/>
            <wp:effectExtent b="0" l="0" r="0" t="0"/>
            <wp:docPr id="2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o CLTMotor deve aplicar o desconto fixo limite de </w:t>
      </w:r>
      <w:r w:rsidDel="00000000" w:rsidR="00000000" w:rsidRPr="00000000">
        <w:rPr>
          <w:rFonts w:ascii="Arial" w:cs="Arial" w:eastAsia="Arial" w:hAnsi="Arial"/>
          <w:color w:val="1f1f1f"/>
        </w:rPr>
        <w:drawing>
          <wp:inline distB="19050" distT="19050" distL="19050" distR="19050">
            <wp:extent cx="776635" cy="237745"/>
            <wp:effectExtent b="0" l="0" r="0" t="0"/>
            <wp:docPr id="2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 sob pena de subestimar o salário líquido final e violar a legislação previdenciária.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A Nova Sistemática do IRRF e a Fórmula de Redução Progressiva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implementação do Imposto de Renda Retido na Fonte (IRRF) a partir de 1º de janeiro de 2026 sofreu a maior alteração em décadas com a promulgação da Lei nº 15.270/2025.</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referida lei alterou a Lei nº 9.250/1995, instituindo um mechanism de redução mensal do imposto para evitar o chamado "abismo tributário" — uma distorção em que um aumento salarial nominal gerava uma perda líquida devido à mudança abrupta de faixa de tributação.</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Diferentemente das regras fiscais anteriores, a nova legislação mantém a tabela progressiva padrão de alíquotas intacta para bases de cálculo plenas, mas introduz um redutor progressivo de imposto que atua como um benefício fiscal decrescente diretamente na apuração do imposto devido na fonte.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sequência de cálculo do IRRF no CLTMotor deve processar duas etapas fundamentais para manter a precisão centesimal exigida: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Etapa 1: Apuração do Imposto Bruto pela Tabela Progressiva Padrão de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imposto bruto deve ser calculado aplicando a alíquota da faixa correspondente sobre a base de cálculo líquida (salário bruto deduzido da contribuição ao INSS e demais deduções legais cabíveis, como dependentes)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Base de Cálculo Mensal (R$)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Alíquota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Parcela a Deduzir Padrão (R$)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Até 2.428,80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2.428,81 até 2.826,65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2.826,66 até 3.751,05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394,16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 3.751,06 até 4.664,68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675,49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Acima de 4.664,68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908,73</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Etapa 2: Aplicação do Redutor Progressivo Mensal da Lei nº 15.270/2025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Após apurar o imposto de renda bruto, o algoritmo do motor deve aplicar a redução de imposto correspondente, definida em função do salário bruto do colaborador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Faixa de Rendimento Bruto Mensal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Regra de Redução do Imposto Devido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Até 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Redução total (até R$ 312,89), resultando em Imposto Devido igual a zero.</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 5.000,01 até 7.350,00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Redução calculada por: </w:t>
            </w:r>
            <w:r w:rsidDel="00000000" w:rsidR="00000000" w:rsidRPr="00000000">
              <w:rPr>
                <w:rFonts w:ascii="Arial" w:cs="Arial" w:eastAsia="Arial" w:hAnsi="Arial"/>
                <w:color w:val="1f1f1f"/>
                <w:shd w:fill="auto" w:val="clear"/>
              </w:rPr>
              <w:drawing>
                <wp:inline distB="19050" distT="19050" distL="19050" distR="19050">
                  <wp:extent cx="2805284" cy="198113"/>
                  <wp:effectExtent b="0" l="0" r="0" t="0"/>
                  <wp:docPr id="2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805284" cy="1981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Acima de 7.350,00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Sem redução (Redutor = 0,00).</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Essa fórmula matemática do redutor progressivo, proposta de forma coerente no escopo do motor, possui exatidão perfeita para o intervalo definido.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No limite inferior de transição (</w:t>
      </w:r>
      <w:r w:rsidDel="00000000" w:rsidR="00000000" w:rsidRPr="00000000">
        <w:rPr>
          <w:rFonts w:ascii="Arial" w:cs="Arial" w:eastAsia="Arial" w:hAnsi="Arial"/>
          <w:color w:val="1f1f1f"/>
        </w:rPr>
        <w:drawing>
          <wp:inline distB="19050" distT="19050" distL="19050" distR="19050">
            <wp:extent cx="1588741" cy="238311"/>
            <wp:effectExtent b="0" l="0" r="0" t="0"/>
            <wp:docPr id="2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588741" cy="238311"/>
                    </a:xfrm>
                    <a:prstGeom prst="rect"/>
                    <a:ln/>
                  </pic:spPr>
                </pic:pic>
              </a:graphicData>
            </a:graphic>
          </wp:inline>
        </w:drawing>
      </w:r>
      <w:r w:rsidDel="00000000" w:rsidR="00000000" w:rsidRPr="00000000">
        <w:rPr>
          <w:rFonts w:ascii="Arial" w:cs="Arial" w:eastAsia="Arial" w:hAnsi="Arial"/>
          <w:color w:val="1f1f1f"/>
          <w:rtl w:val="0"/>
        </w:rPr>
        <w:t xml:space="preserve">), a aplicação da fórmula resulta em uma redução 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14849"/>
            <wp:effectExtent b="0" l="0" r="0" t="0"/>
            <wp:docPr id="2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05500" cy="41484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Este montante converge exatamente com o limite de abatimento necessário para zerar o imposto gerado pela tabela padrão.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No limite superior (</w:t>
      </w:r>
      <w:r w:rsidDel="00000000" w:rsidR="00000000" w:rsidRPr="00000000">
        <w:rPr>
          <w:rFonts w:ascii="Arial" w:cs="Arial" w:eastAsia="Arial" w:hAnsi="Arial"/>
          <w:color w:val="1f1f1f"/>
        </w:rPr>
        <w:drawing>
          <wp:inline distB="19050" distT="19050" distL="19050" distR="19050">
            <wp:extent cx="1588741" cy="238311"/>
            <wp:effectExtent b="0" l="0" r="0" t="0"/>
            <wp:docPr id="3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588741" cy="238311"/>
                    </a:xfrm>
                    <a:prstGeom prst="rect"/>
                    <a:ln/>
                  </pic:spPr>
                </pic:pic>
              </a:graphicData>
            </a:graphic>
          </wp:inline>
        </w:drawing>
      </w:r>
      <w:r w:rsidDel="00000000" w:rsidR="00000000" w:rsidRPr="00000000">
        <w:rPr>
          <w:rFonts w:ascii="Arial" w:cs="Arial" w:eastAsia="Arial" w:hAnsi="Arial"/>
          <w:color w:val="1f1f1f"/>
          <w:rtl w:val="0"/>
        </w:rPr>
        <w:t xml:space="preserve">), o redutor decresce linearmente até atingir a neutralidade: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14849"/>
            <wp:effectExtent b="0" l="0" r="0" t="0"/>
            <wp:docPr id="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05500" cy="41484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linearidade desse redutor suaviza a transição de alíquotas, mitigando de forma bem-sucedida o "abismo tributário".</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Contudo, o motor de cálculo proposto na consulta define que a Faixa 3 (acima de </w:t>
      </w:r>
      <w:r w:rsidDel="00000000" w:rsidR="00000000" w:rsidRPr="00000000">
        <w:rPr>
          <w:rFonts w:ascii="Arial" w:cs="Arial" w:eastAsia="Arial" w:hAnsi="Arial"/>
          <w:color w:val="1f1f1f"/>
        </w:rPr>
        <w:drawing>
          <wp:inline distB="19050" distT="19050" distL="19050" distR="19050">
            <wp:extent cx="920130" cy="237965"/>
            <wp:effectExtent b="0" l="0" r="0" t="0"/>
            <wp:docPr id="3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seguirá a "tabela progressiva padrão".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 motor deve registrar que todas as faixas passam pela tabela progressiva padrão; a diferença reside unicamente no fato de que rendimentos brutos acima de </w:t>
      </w:r>
      <w:r w:rsidDel="00000000" w:rsidR="00000000" w:rsidRPr="00000000">
        <w:rPr>
          <w:rFonts w:ascii="Arial" w:cs="Arial" w:eastAsia="Arial" w:hAnsi="Arial"/>
          <w:color w:val="1f1f1f"/>
        </w:rPr>
        <w:drawing>
          <wp:inline distB="19050" distT="19050" distL="19050" distR="19050">
            <wp:extent cx="920130" cy="237965"/>
            <wp:effectExtent b="0" l="0" r="0" t="0"/>
            <wp:docPr id="3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não farão jus a nenhum abatimento do redutor da Lei nº 15.270/2025, sofrendo a retenção tributária integral calculada na Etapa 1.</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Encargos Patronais e Provisões: Limitações do Multiplicador Estático (1,61x)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 desenvolvimento do CLTMotor, a inclusão do Fundo de Garantia do Tempo de Serviço (FGTS) de 8%, somado às provisões de férias (1/12 acrescido de 1/3 constitucional, equivalente a 11,11% ao mês) e 1/12 de décimo terceiro salário (8,33% ao mês), é tecnicamente correta.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Todavia, a adoção de um multiplicador estático único estimado em </w:t>
      </w:r>
      <w:r w:rsidDel="00000000" w:rsidR="00000000" w:rsidRPr="00000000">
        <w:rPr>
          <w:rFonts w:ascii="Arial" w:cs="Arial" w:eastAsia="Arial" w:hAnsi="Arial"/>
          <w:b w:val="1"/>
          <w:bCs w:val="1"/>
          <w:color w:val="1f1f1f"/>
          <w:rtl w:val="0"/>
        </w:rPr>
        <w:t xml:space="preserve">1,61x</w:t>
      </w:r>
      <w:r w:rsidDel="00000000" w:rsidR="00000000" w:rsidRPr="00000000">
        <w:rPr>
          <w:rFonts w:ascii="Arial" w:cs="Arial" w:eastAsia="Arial" w:hAnsi="Arial"/>
          <w:color w:val="1f1f1f"/>
          <w:rtl w:val="0"/>
        </w:rPr>
        <w:t xml:space="preserve"> para calcular o custo total da empresa introduz distorções severas que reduzem a viabilidade do motor para o uso por empregadores.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custo de contratação sob o regime CLT no Brasil é condicionado diretamente pelo regime tributário adotado pelo empregador, gerando três perfis de custos totalmente distintos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Empresas do Simples Nacional (Anexos I, II, III e V):</w:t>
      </w:r>
      <w:r w:rsidDel="00000000" w:rsidR="00000000" w:rsidRPr="00000000">
        <w:rPr>
          <w:rFonts w:ascii="Arial" w:cs="Arial" w:eastAsia="Arial" w:hAnsi="Arial"/>
          <w:color w:val="1f1f1f"/>
          <w:rtl w:val="0"/>
        </w:rPr>
        <w:t xml:space="preserve"> Isentas do recolhimento de INSS Patronal de 20%, Seguro Acidente do Trabalho/Risco Ambiental do Trabalho (SAT/RAT) e contribuições a terceiros (Sistema S, Salário-Educação, Incra).</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Empresas do Simples Nacional (Anexo IV):</w:t>
      </w:r>
      <w:r w:rsidDel="00000000" w:rsidR="00000000" w:rsidRPr="00000000">
        <w:rPr>
          <w:rFonts w:ascii="Arial" w:cs="Arial" w:eastAsia="Arial" w:hAnsi="Arial"/>
          <w:color w:val="1f1f1f"/>
          <w:rtl w:val="0"/>
        </w:rPr>
        <w:t xml:space="preserve"> Obrigadas a recolher de forma destacada o INSS Patronal de 20% sobre a folha de pagamento, além dos demais encargos trabalhistas básicos.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Empresas do Lucro Presumido e Lucro Real:</w:t>
      </w:r>
      <w:r w:rsidDel="00000000" w:rsidR="00000000" w:rsidRPr="00000000">
        <w:rPr>
          <w:rFonts w:ascii="Arial" w:cs="Arial" w:eastAsia="Arial" w:hAnsi="Arial"/>
          <w:color w:val="1f1f1f"/>
          <w:rtl w:val="0"/>
        </w:rPr>
        <w:t xml:space="preserve"> Sujeitas ao recolhimento pleno dos encargos sociais (INSS Patronal de 20%, alíquota RAT média de 2% ajustada pelo Fator Acidentário de Prevenção, e contribuição de terceiros de 5,8%).</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tabela a seguir apresenta a simulação exaustiva da folha de pagamento patronal para as duas principais realidades fiscais do país, desconsiderando custos de benefícios discricionários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Elemento de Custo Patronal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Simples Nacional (Exceto Anexo IV)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Lucro Real / Lucro Presumido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Salário Bruto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INSS Patronal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 / FAP (Média)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Sistema S (Terceiros)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FGTS Mensal Recorrente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Provisão Mensal de Férias (+ 1/3)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Provisão Mensal de 13º Salário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Encargos de FGTS sobre Provisões (8%)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Encargos Previdenciários sobre Provisões (27,8%)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Provisão Mensal de Multa Rescisória (FGTS)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Multiplicador de Custo Base (Sem Benefícios)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~1,33x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~1,66x</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aplicação sistemática do multiplicador estático de 1,61x resulta em inconsistências graves para o empregador:</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Erro por Superestimação (Simples Nacional):</w:t>
      </w:r>
      <w:r w:rsidDel="00000000" w:rsidR="00000000" w:rsidRPr="00000000">
        <w:rPr>
          <w:rFonts w:ascii="Arial" w:cs="Arial" w:eastAsia="Arial" w:hAnsi="Arial"/>
          <w:color w:val="1f1f1f"/>
          <w:rtl w:val="0"/>
        </w:rPr>
        <w:t xml:space="preserve"> Ao aplicar o índice de 1,61x para simular a contratação por uma micro ou pequena empresa optante pelo Simples Nacional, o motor superestima os encargos patronais em quase 30%.</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Isso pode induzir o empreendedor ao erro de julgar inviável uma contratação CLT legítima, forçando-o a buscar alternativas de menor segurança jurídica.</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Erro por Subestimação (Lucro Real e Presumido):</w:t>
      </w:r>
      <w:r w:rsidDel="00000000" w:rsidR="00000000" w:rsidRPr="00000000">
        <w:rPr>
          <w:rFonts w:ascii="Arial" w:cs="Arial" w:eastAsia="Arial" w:hAnsi="Arial"/>
          <w:color w:val="1f1f1f"/>
          <w:rtl w:val="0"/>
        </w:rPr>
        <w:t xml:space="preserve"> Para empresas sujeitas aos regimes tradicionais, os encargos e provisões básicos já somam aproximadamente 1,66x o valor salarial bruto, sem considerar custos adicionais fundamentais para a apuração do custo real do trabalho.</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Omissão de Benefícios e Custos Indiretos:</w:t>
      </w:r>
      <w:r w:rsidDel="00000000" w:rsidR="00000000" w:rsidRPr="00000000">
        <w:rPr>
          <w:rFonts w:ascii="Arial" w:cs="Arial" w:eastAsia="Arial" w:hAnsi="Arial"/>
          <w:color w:val="1f1f1f"/>
          <w:rtl w:val="0"/>
        </w:rPr>
        <w:t xml:space="preserve"> O multiplicador de 1,61x desconsidera despesas operacionais obrigatórias e acordos coletivos, como Vale-Alimentação, plano de saúde corporativo, exames admissionais e demissionais, programas de segurança do trabalho (PCMSO/PGR) e taxas de suporte contábil da folha de pagamento.</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Se o trabalhador recebe benefícios de </w:t>
      </w:r>
      <w:r w:rsidDel="00000000" w:rsidR="00000000" w:rsidRPr="00000000">
        <w:rPr>
          <w:rFonts w:ascii="Arial" w:cs="Arial" w:eastAsia="Arial" w:hAnsi="Arial"/>
          <w:color w:val="1f1f1f"/>
        </w:rPr>
        <w:drawing>
          <wp:inline distB="19050" distT="19050" distL="19050" distR="19050">
            <wp:extent cx="920130" cy="237965"/>
            <wp:effectExtent b="0" l="0" r="0" t="0"/>
            <wp:docPr id="3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mensais sob um salário de </w:t>
      </w:r>
      <w:r w:rsidDel="00000000" w:rsidR="00000000" w:rsidRPr="00000000">
        <w:rPr>
          <w:rFonts w:ascii="Arial" w:cs="Arial" w:eastAsia="Arial" w:hAnsi="Arial"/>
          <w:color w:val="1f1f1f"/>
        </w:rPr>
        <w:drawing>
          <wp:inline distB="19050" distT="19050" distL="19050" distR="19050">
            <wp:extent cx="920130" cy="237965"/>
            <wp:effectExtent b="0" l="0" r="0" t="0"/>
            <wp:docPr id="3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o multiplicador real no Lucro Presumido escalará de 1,66x para quase 1,96x.</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Portanto, um motor de cálculo profissional direcionado a empresas deve abandonar o multiplicador fixo e parametrizar o cálculo com base no enquadramento tributário real do contratante, além de computar de forma segregada os benefícios corporativos.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O FGTS como Incremento Patrimonial e Elementos de Impacto Semelhante (Previdência Privada, PLR e Benefícios)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uma avaliação fidedigna da proposta de remuneração sob a perspectiva do candidato, o FGTS deve ser tratado na documentação como um </w:t>
      </w:r>
      <w:r w:rsidDel="00000000" w:rsidR="00000000" w:rsidRPr="00000000">
        <w:rPr>
          <w:rFonts w:ascii="Arial" w:cs="Arial" w:eastAsia="Arial" w:hAnsi="Arial"/>
          <w:b w:val="1"/>
          <w:bCs w:val="1"/>
          <w:color w:val="1f1f1f"/>
          <w:rtl w:val="0"/>
        </w:rPr>
        <w:t xml:space="preserve">incremento patrimonial diferido</w:t>
      </w:r>
      <w:r w:rsidDel="00000000" w:rsidR="00000000" w:rsidRPr="00000000">
        <w:rPr>
          <w:rFonts w:ascii="Arial" w:cs="Arial" w:eastAsia="Arial" w:hAnsi="Arial"/>
          <w:color w:val="1f1f1f"/>
          <w:rtl w:val="0"/>
        </w:rPr>
        <w:t xml:space="preserve">. Embora não componha o fluxo de caixa líquido mensal imediato (salário de bolso do dia a dia), os depósitos mensais de 8% constituem um ativo financeiro real de propriedade exclusiva do trabalhador, cuja correção mínima anual do saldo deve acompanhar oficialmente a inflação medida pelo IPCA. Em cenários de planejamento de longo prazo ou de equivalência entre propostas CLT e PJ, esse saldo acumulado atua como uma poupança financeira sólida.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Ao projetar essa dinâmica de valorização patrimonial no desenvolvimento do CLTMotor, existem outros componentes da remuneração estratégica corporativa que produzem efeitos semelhantes de acúmulo financeiro para o profissional sem que haja desconto em sua folha de pagamento ordinária. Os principais elementos a serem modelados são:</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Previdência Privada Corporativa com Contrapartida (Matching)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Fortemente semelhante à lógica do FGTS por construir uma poupança previdenciária de longo prazo, a previdência complementar fechada oferecida por médias e grandes empresas costuma contar com o mecanismo de contribuição paritária (ou </w:t>
      </w:r>
      <w:r w:rsidDel="00000000" w:rsidR="00000000" w:rsidRPr="00000000">
        <w:rPr>
          <w:rFonts w:ascii="Arial" w:cs="Arial" w:eastAsia="Arial" w:hAnsi="Arial"/>
          <w:i w:val="1"/>
          <w:iCs w:val="1"/>
          <w:color w:val="1f1f1f"/>
          <w:rtl w:val="0"/>
        </w:rPr>
        <w:t xml:space="preserve">matching</w:t>
      </w:r>
      <w:r w:rsidDel="00000000" w:rsidR="00000000" w:rsidRPr="00000000">
        <w:rPr>
          <w:rFonts w:ascii="Arial" w:cs="Arial" w:eastAsia="Arial" w:hAnsi="Arial"/>
          <w:color w:val="1f1f1f"/>
          <w:rtl w:val="0"/>
        </w:rPr>
        <w:t xml:space="preserve">). Neste formato, para cada real poupado voluntariamente pelo colaborador, a empresa realiza um aporte idêntico de mesmo valor (proporção 1:1) até um limite percentual do salário (geralmente entre 5% e 12%).</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Efeito Semelhante ao FGTS:</w:t>
      </w:r>
      <w:r w:rsidDel="00000000" w:rsidR="00000000" w:rsidRPr="00000000">
        <w:rPr>
          <w:rFonts w:ascii="Arial" w:cs="Arial" w:eastAsia="Arial" w:hAnsi="Arial"/>
          <w:color w:val="1f1f1f"/>
          <w:rtl w:val="0"/>
        </w:rPr>
        <w:t xml:space="preserve"> Constitui uma injeção de patrimônio financeiro financiada exclusivamente pela empresa, sem qualquer desconto sobre o salário líquido acertado, sendo totalmente isenta de encargos previdenciários e trabalhistas para o empregador.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Participação nos Lucros e Resultados (PLR)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PLR é um dos instrumentos mais eficientes de atratividade e retenção no cálculo de </w:t>
      </w:r>
      <w:r w:rsidDel="00000000" w:rsidR="00000000" w:rsidRPr="00000000">
        <w:rPr>
          <w:rFonts w:ascii="Arial" w:cs="Arial" w:eastAsia="Arial" w:hAnsi="Arial"/>
          <w:i w:val="1"/>
          <w:iCs w:val="1"/>
          <w:color w:val="1f1f1f"/>
          <w:rtl w:val="0"/>
        </w:rPr>
        <w:t xml:space="preserve">Total Cash</w:t>
      </w:r>
      <w:r w:rsidDel="00000000" w:rsidR="00000000" w:rsidRPr="00000000">
        <w:rPr>
          <w:rFonts w:ascii="Arial" w:cs="Arial" w:eastAsia="Arial" w:hAnsi="Arial"/>
          <w:color w:val="1f1f1f"/>
          <w:rtl w:val="0"/>
        </w:rPr>
        <w:t xml:space="preserve"> anualizado. Ela representa uma bonificação variável atrelada ao atingimento de metas operacionais e financeiras da organização.</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Efeito Semelhante ao FGTS:</w:t>
      </w:r>
      <w:r w:rsidDel="00000000" w:rsidR="00000000" w:rsidRPr="00000000">
        <w:rPr>
          <w:rFonts w:ascii="Arial" w:cs="Arial" w:eastAsia="Arial" w:hAnsi="Arial"/>
          <w:color w:val="1f1f1f"/>
          <w:rtl w:val="0"/>
        </w:rPr>
        <w:t xml:space="preserve"> A legislação confere à PLR total isenção de obrigações trabalhistas e previdenciárias patronais (sem incidência de INSS ou FGTS para a empresa). Para o profissional, trata-se de um expressivo fluxo extra de caixa anual que, além de não reduzir seus recebimentos mensais, conta com uma tabela de tributação de imposto de renda exclusiva e mais favorável na fonte, maximizando o ganho líquido real.</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Benefícios Isentos de Encargos sob o PAT (VA, VR e Assistência Médica)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fornecimento regular de benefícios corporativos como Vale-Alimentação (VA), Vale-Refeição (VR) e planos de saúde/odontológicos integrais funciona como uma modalidade de remuneração indireta de altíssimo valor percebido.</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b w:val="1"/>
          <w:bCs w:val="1"/>
          <w:color w:val="1f1f1f"/>
          <w:rtl w:val="0"/>
        </w:rPr>
        <w:t xml:space="preserve">Efeito Semelhante ao FGTS:</w:t>
      </w:r>
      <w:r w:rsidDel="00000000" w:rsidR="00000000" w:rsidRPr="00000000">
        <w:rPr>
          <w:rFonts w:ascii="Arial" w:cs="Arial" w:eastAsia="Arial" w:hAnsi="Arial"/>
          <w:color w:val="1f1f1f"/>
          <w:rtl w:val="0"/>
        </w:rPr>
        <w:t xml:space="preserve"> Quando estruturados conforme as diretrizes do Programa de Alimentação do Trabalhador (PAT), esses benefícios não incorporam caráter salarial, ficando isentos de encargos de INSS e FGTS. Do ponto de vista do colaborador, embora não sejam sacáveis em espécie no banco, atuam como "dinheiro carimbado de uso imediato" (caixa indireto), pois neutralizam integralmente gastos mensais básicos de sobrevivência que ele obrigatoriamente teria de custear utilizando seu próprio salário líquido.</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Análise Crítica do Total Cash (Visão Candidato) e o Erro de Dupla Contagem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escopo de simulação apresentado para o candidato, a fórmula sugerida para o cálculo do </w:t>
      </w:r>
      <w:r w:rsidDel="00000000" w:rsidR="00000000" w:rsidRPr="00000000">
        <w:rPr>
          <w:rFonts w:ascii="Arial" w:cs="Arial" w:eastAsia="Arial" w:hAnsi="Arial"/>
          <w:i w:val="1"/>
          <w:iCs w:val="1"/>
          <w:color w:val="1f1f1f"/>
          <w:rtl w:val="0"/>
        </w:rPr>
        <w:t xml:space="preserve">Total Cash</w:t>
      </w:r>
      <w:r w:rsidDel="00000000" w:rsidR="00000000" w:rsidRPr="00000000">
        <w:rPr>
          <w:rFonts w:ascii="Arial" w:cs="Arial" w:eastAsia="Arial" w:hAnsi="Arial"/>
          <w:color w:val="1f1f1f"/>
          <w:rtl w:val="0"/>
        </w:rPr>
        <w:t xml:space="preserve"> mensalizado é expressa como: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4662"/>
            <wp:effectExtent b="0" l="0" r="0" t="0"/>
            <wp:docPr id="3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05500" cy="52466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Esta abordagem apresenta uma falha conceitual grave de dupla contagem de fluxo de caixa, que superestima o valor real auferido pelo trabalhador e compromete a fidedignidade de qualquer ferramenta que pretenda calcular a equivalência salarial entre contratos CLT e Prestação de Serviços (PJ).</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Demonstração Matemática do Erro de Dupla Contagem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premissa contida na fórmula pressupõe que o trabalhador CLT recebe anualmente 12 salários mensais normais mais um 13º salário e um salário integral de férias, totalizando 14 salários brutos ao ano.</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Todavia, na prática trabalhista brasileira, o pagamento de férias não constitui um "salário extra" em dinheiro líquido.</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Durante o período de gozo de férias (30 dias), o trabalhador deixa de prestar serviços, mas continua recebendo o seu salário mensal de forma antecipada, acrescido do terço constitucional (</w:t>
      </w:r>
      <w:r w:rsidDel="00000000" w:rsidR="00000000" w:rsidRPr="00000000">
        <w:rPr>
          <w:rFonts w:ascii="Arial" w:cs="Arial" w:eastAsia="Arial" w:hAnsi="Arial"/>
          <w:color w:val="1f1f1f"/>
        </w:rPr>
        <w:drawing>
          <wp:inline distB="19050" distT="19050" distL="19050" distR="19050">
            <wp:extent cx="604490" cy="217616"/>
            <wp:effectExtent b="0" l="0" r="0" t="0"/>
            <wp:docPr id="36"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604490" cy="21761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Assim, ao longo de um ano civil completo de 12 meses, o trabalhador CLT efetivamente trabalha 11 meses, descansa 1 mês e recebe em termos de fluxos de caixa básicos de natureza salarial:</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12 salários normais correspondentes aos 12 meses do ano (sendo 11 decorrentes de trabalho e 1 adiantado devido às férias);</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1 salário relativo ao 13º salário (pago habitualmente em duas parcelas entre novembro e dezembro);</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Pr>
        <w:drawing>
          <wp:inline distB="19050" distT="19050" distL="19050" distR="19050">
            <wp:extent cx="276696" cy="219730"/>
            <wp:effectExtent b="0" l="0" r="0" t="0"/>
            <wp:docPr id="3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76696" cy="219730"/>
                    </a:xfrm>
                    <a:prstGeom prst="rect"/>
                    <a:ln/>
                  </pic:spPr>
                </pic:pic>
              </a:graphicData>
            </a:graphic>
          </wp:inline>
        </w:drawing>
      </w:r>
      <w:r w:rsidDel="00000000" w:rsidR="00000000" w:rsidRPr="00000000">
        <w:rPr>
          <w:rFonts w:ascii="Arial" w:cs="Arial" w:eastAsia="Arial" w:hAnsi="Arial"/>
          <w:color w:val="1f1f1f"/>
          <w:rtl w:val="0"/>
        </w:rPr>
        <w:t xml:space="preserve"> do salário nominal bruto como adicional constitucional de férias.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Dessa forma, a massa salarial anual recebida pelo empregado é equivalente a exatamente </w:t>
      </w:r>
      <w:r w:rsidDel="00000000" w:rsidR="00000000" w:rsidRPr="00000000">
        <w:rPr>
          <w:rFonts w:ascii="Arial" w:cs="Arial" w:eastAsia="Arial" w:hAnsi="Arial"/>
          <w:b w:val="1"/>
          <w:bCs w:val="1"/>
          <w:color w:val="1f1f1f"/>
          <w:rtl w:val="0"/>
        </w:rPr>
        <w:t xml:space="preserve">13,33 salários brutos</w:t>
      </w:r>
      <w:r w:rsidDel="00000000" w:rsidR="00000000" w:rsidRPr="00000000">
        <w:rPr>
          <w:rFonts w:ascii="Arial" w:cs="Arial" w:eastAsia="Arial" w:hAnsi="Arial"/>
          <w:color w:val="1f1f1f"/>
          <w:rtl w:val="0"/>
        </w:rPr>
        <w:t xml:space="preserve">, e não 14 salários.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Ao divisão do salário completo de férias por 12 e somando-o aos salários ordinários do ano, a equação do CLTMotor promove uma dupla contagem de 2/3 de salário nominal no ano, correspondente a um erro de superestimação de cerca de 5,5% do ganho real do trabalhador.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Exemplo Numérico Comparativo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Considere um profissional contratado com salário bruto mensal de </w:t>
      </w:r>
      <w:r w:rsidDel="00000000" w:rsidR="00000000" w:rsidRPr="00000000">
        <w:rPr>
          <w:rFonts w:ascii="Arial" w:cs="Arial" w:eastAsia="Arial" w:hAnsi="Arial"/>
          <w:color w:val="1f1f1f"/>
        </w:rPr>
        <w:drawing>
          <wp:inline distB="19050" distT="19050" distL="19050" distR="19050">
            <wp:extent cx="920130" cy="237965"/>
            <wp:effectExtent b="0" l="0" r="0" t="0"/>
            <wp:docPr id="3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sem dependentes, isento de outros descontos comerciais, com direito a benefícios no valor de </w:t>
      </w:r>
      <w:r w:rsidDel="00000000" w:rsidR="00000000" w:rsidRPr="00000000">
        <w:rPr>
          <w:rFonts w:ascii="Arial" w:cs="Arial" w:eastAsia="Arial" w:hAnsi="Arial"/>
          <w:color w:val="1f1f1f"/>
        </w:rPr>
        <w:drawing>
          <wp:inline distB="19050" distT="19050" distL="19050" distR="19050">
            <wp:extent cx="920130" cy="237965"/>
            <wp:effectExtent b="0" l="0" r="0" t="0"/>
            <wp:docPr id="3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por mês.</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Descontos Ordinários Mensais:</w:t>
      </w:r>
    </w:p>
    <w:p w:rsidR="00000000" w:rsidDel="00000000" w:rsidP="00000000" w:rsidRDefault="00000000" w:rsidRPr="00000000" w14:paraId="0000008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INSS Progressivo: </w:t>
      </w:r>
      <w:r w:rsidDel="00000000" w:rsidR="00000000" w:rsidRPr="00000000">
        <w:rPr>
          <w:rFonts w:ascii="Arial" w:cs="Arial" w:eastAsia="Arial" w:hAnsi="Arial"/>
          <w:color w:val="1f1f1f"/>
        </w:rPr>
        <w:drawing>
          <wp:inline distB="19050" distT="19050" distL="19050" distR="19050">
            <wp:extent cx="776635" cy="237745"/>
            <wp:effectExtent b="0" l="0" r="0" t="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 (calculado sobre as faixas progressivas).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IRRF Líquido: </w:t>
      </w:r>
      <w:r w:rsidDel="00000000" w:rsidR="00000000" w:rsidRPr="00000000">
        <w:rPr>
          <w:rFonts w:ascii="Arial" w:cs="Arial" w:eastAsia="Arial" w:hAnsi="Arial"/>
          <w:color w:val="1f1f1f"/>
        </w:rPr>
        <w:drawing>
          <wp:inline distB="19050" distT="19050" distL="19050" distR="19050">
            <wp:extent cx="776635" cy="237745"/>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 (Imposto Bruto de </w:t>
      </w:r>
      <w:r w:rsidDel="00000000" w:rsidR="00000000" w:rsidRPr="00000000">
        <w:rPr>
          <w:rFonts w:ascii="Arial" w:cs="Arial" w:eastAsia="Arial" w:hAnsi="Arial"/>
          <w:color w:val="1f1f1f"/>
        </w:rPr>
        <w:drawing>
          <wp:inline distB="19050" distT="19050" distL="19050" distR="19050">
            <wp:extent cx="776635" cy="237745"/>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 deduzido do redutor linear de </w:t>
      </w:r>
      <w:r w:rsidDel="00000000" w:rsidR="00000000" w:rsidRPr="00000000">
        <w:rPr>
          <w:rFonts w:ascii="Arial" w:cs="Arial" w:eastAsia="Arial" w:hAnsi="Arial"/>
          <w:color w:val="1f1f1f"/>
        </w:rPr>
        <w:drawing>
          <wp:inline distB="19050" distT="19050" distL="19050" distR="19050">
            <wp:extent cx="776635" cy="237745"/>
            <wp:effectExtent b="0" l="0" r="0" t="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Salário Líquido Mensal: </w:t>
      </w:r>
      <w:r w:rsidDel="00000000" w:rsidR="00000000" w:rsidRPr="00000000">
        <w:rPr>
          <w:rFonts w:ascii="Arial" w:cs="Arial" w:eastAsia="Arial" w:hAnsi="Arial"/>
          <w:color w:val="1f1f1f"/>
        </w:rPr>
        <w:drawing>
          <wp:inline distB="19050" distT="19050" distL="19050" distR="19050">
            <wp:extent cx="4090168" cy="238726"/>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090168" cy="23872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Apurando o 13º Salário Líquido:</w:t>
      </w:r>
    </w:p>
    <w:p w:rsidR="00000000" w:rsidDel="00000000" w:rsidP="00000000" w:rsidRDefault="00000000" w:rsidRPr="00000000" w14:paraId="0000008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O 13º salário sofre tributação própria na fonte. Considerando o mesmo salário bruto de </w:t>
      </w:r>
      <w:r w:rsidDel="00000000" w:rsidR="00000000" w:rsidRPr="00000000">
        <w:rPr>
          <w:rFonts w:ascii="Arial" w:cs="Arial" w:eastAsia="Arial" w:hAnsi="Arial"/>
          <w:color w:val="1f1f1f"/>
        </w:rPr>
        <w:drawing>
          <wp:inline distB="19050" distT="19050" distL="19050" distR="19050">
            <wp:extent cx="920130" cy="237965"/>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o 13º salário líquido recebido no final do ano totaliza </w:t>
      </w:r>
      <w:r w:rsidDel="00000000" w:rsidR="00000000" w:rsidRPr="00000000">
        <w:rPr>
          <w:rFonts w:ascii="Arial" w:cs="Arial" w:eastAsia="Arial" w:hAnsi="Arial"/>
          <w:color w:val="1f1f1f"/>
        </w:rPr>
        <w:drawing>
          <wp:inline distB="19050" distT="19050" distL="19050" distR="19050">
            <wp:extent cx="920130" cy="237965"/>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Apurando o Terço Constitucional de Férias Líquido:</w:t>
      </w:r>
    </w:p>
    <w:p w:rsidR="00000000" w:rsidDel="00000000" w:rsidP="00000000" w:rsidRDefault="00000000" w:rsidRPr="00000000" w14:paraId="0000008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O terço constitucional bruto equivale a </w:t>
      </w:r>
      <w:r w:rsidDel="00000000" w:rsidR="00000000" w:rsidRPr="00000000">
        <w:rPr>
          <w:rFonts w:ascii="Arial" w:cs="Arial" w:eastAsia="Arial" w:hAnsi="Arial"/>
          <w:color w:val="1f1f1f"/>
        </w:rPr>
        <w:drawing>
          <wp:inline distB="19050" distT="19050" distL="19050" distR="19050">
            <wp:extent cx="920130" cy="237965"/>
            <wp:effectExtent b="0" l="0" r="0" t="0"/>
            <wp:docPr id="1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76696" cy="219730"/>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76696" cy="219730"/>
                    </a:xfrm>
                    <a:prstGeom prst="rect"/>
                    <a:ln/>
                  </pic:spPr>
                </pic:pic>
              </a:graphicData>
            </a:graphic>
          </wp:inline>
        </w:drawing>
      </w:r>
      <w:r w:rsidDel="00000000" w:rsidR="00000000" w:rsidRPr="00000000">
        <w:rPr>
          <w:rFonts w:ascii="Arial" w:cs="Arial" w:eastAsia="Arial" w:hAnsi="Arial"/>
          <w:color w:val="1f1f1f"/>
          <w:rtl w:val="0"/>
        </w:rPr>
        <w:t xml:space="preserve"> de </w:t>
      </w:r>
      <w:r w:rsidDel="00000000" w:rsidR="00000000" w:rsidRPr="00000000">
        <w:rPr>
          <w:rFonts w:ascii="Arial" w:cs="Arial" w:eastAsia="Arial" w:hAnsi="Arial"/>
          <w:color w:val="1f1f1f"/>
        </w:rPr>
        <w:drawing>
          <wp:inline distB="19050" distT="19050" distL="19050" distR="19050">
            <wp:extent cx="920130" cy="237965"/>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No momento das férias, este terço constitucional é submetido à tributação na fonte de forma acumulada com o salário das férias. Supondo a retenção do IRRF proporcional, o ganho líquido real extra referente a esse direito é de aproximadamente </w:t>
      </w:r>
      <w:r w:rsidDel="00000000" w:rsidR="00000000" w:rsidRPr="00000000">
        <w:rPr>
          <w:rFonts w:ascii="Arial" w:cs="Arial" w:eastAsia="Arial" w:hAnsi="Arial"/>
          <w:color w:val="1f1f1f"/>
        </w:rPr>
        <w:drawing>
          <wp:inline distB="19050" distT="19050" distL="19050" distR="19050">
            <wp:extent cx="920130" cy="237965"/>
            <wp:effectExtent b="0" l="0" r="0" t="0"/>
            <wp:docPr id="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Cálculo pela Fórmula Proposta do CLTMotor (Errônea):</w:t>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Arial" w:cs="Arial" w:eastAsia="Arial" w:hAnsi="Arial"/>
          <w:color w:val="1f1f1f"/>
          <w:rtl w:val="0"/>
        </w:rPr>
        <w:t xml:space="preserve">O motor consideraria férias completas e 13º salário bruto diluídos por 12: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0763"/>
            <wp:effectExtent b="0" l="0" r="0" t="0"/>
            <wp:docPr id="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05500" cy="53076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Cálculo pelo Fluxo Anualizado Real Diluído por 12:</w:t>
      </w:r>
    </w:p>
    <w:p w:rsidR="00000000" w:rsidDel="00000000" w:rsidP="00000000" w:rsidRDefault="00000000" w:rsidRPr="00000000" w14:paraId="00000094">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Arial" w:cs="Arial" w:eastAsia="Arial" w:hAnsi="Arial"/>
          <w:color w:val="1f1f1f"/>
          <w:rtl w:val="0"/>
        </w:rPr>
        <w:t xml:space="preserve">O cálculo de equivalência real exige a apuração de todo o ganho líquido efetivamente depositado na conta do trabalhador em 12 meses de relação contratual: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14849"/>
            <wp:effectExtent b="0" l="0" r="0" t="0"/>
            <wp:docPr id="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05500" cy="41484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14849"/>
            <wp:effectExtent b="0" l="0" r="0" t="0"/>
            <wp:docPr id="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05500" cy="41484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0763"/>
            <wp:effectExtent b="0" l="0" r="0" t="0"/>
            <wp:docPr id="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05500" cy="53076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diferença entre o modelo proposto pelo CLTMotor (</w:t>
      </w:r>
      <w:r w:rsidDel="00000000" w:rsidR="00000000" w:rsidRPr="00000000">
        <w:rPr>
          <w:rFonts w:ascii="Arial" w:cs="Arial" w:eastAsia="Arial" w:hAnsi="Arial"/>
          <w:color w:val="1f1f1f"/>
        </w:rPr>
        <w:drawing>
          <wp:inline distB="19050" distT="19050" distL="19050" distR="19050">
            <wp:extent cx="920130" cy="237965"/>
            <wp:effectExtent b="0" l="0" r="0" t="0"/>
            <wp:docPr id="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e a realidade financeira real de fluxo de caixa (</w:t>
      </w:r>
      <w:r w:rsidDel="00000000" w:rsidR="00000000" w:rsidRPr="00000000">
        <w:rPr>
          <w:rFonts w:ascii="Arial" w:cs="Arial" w:eastAsia="Arial" w:hAnsi="Arial"/>
          <w:color w:val="1f1f1f"/>
        </w:rPr>
        <w:drawing>
          <wp:inline distB="19050" distT="19050" distL="19050" distR="19050">
            <wp:extent cx="920130" cy="237965"/>
            <wp:effectExtent b="0" l="0" r="0" t="0"/>
            <wp:docPr id="7"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920130" cy="237965"/>
                    </a:xfrm>
                    <a:prstGeom prst="rect"/>
                    <a:ln/>
                  </pic:spPr>
                </pic:pic>
              </a:graphicData>
            </a:graphic>
          </wp:inline>
        </w:drawing>
      </w:r>
      <w:r w:rsidDel="00000000" w:rsidR="00000000" w:rsidRPr="00000000">
        <w:rPr>
          <w:rFonts w:ascii="Arial" w:cs="Arial" w:eastAsia="Arial" w:hAnsi="Arial"/>
          <w:color w:val="1f1f1f"/>
          <w:rtl w:val="0"/>
        </w:rPr>
        <w:t xml:space="preserve">) é de </w:t>
      </w:r>
      <w:r w:rsidDel="00000000" w:rsidR="00000000" w:rsidRPr="00000000">
        <w:rPr>
          <w:rFonts w:ascii="Arial" w:cs="Arial" w:eastAsia="Arial" w:hAnsi="Arial"/>
          <w:color w:val="1f1f1f"/>
        </w:rPr>
        <w:drawing>
          <wp:inline distB="19050" distT="19050" distL="19050" distR="19050">
            <wp:extent cx="776635" cy="237745"/>
            <wp:effectExtent b="0" l="0" r="0" t="0"/>
            <wp:docPr id="8"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776635" cy="237745"/>
                    </a:xfrm>
                    <a:prstGeom prst="rect"/>
                    <a:ln/>
                  </pic:spPr>
                </pic:pic>
              </a:graphicData>
            </a:graphic>
          </wp:inline>
        </w:drawing>
      </w:r>
      <w:r w:rsidDel="00000000" w:rsidR="00000000" w:rsidRPr="00000000">
        <w:rPr>
          <w:rFonts w:ascii="Arial" w:cs="Arial" w:eastAsia="Arial" w:hAnsi="Arial"/>
          <w:color w:val="1f1f1f"/>
          <w:rtl w:val="0"/>
        </w:rPr>
        <w:t xml:space="preserve"> por mês (um erro de superestimação de 7,14% na renda do trabalhador). Esta distorção gerará frustrações severas aos candidatos e induzirá a erros drásticos nas simulações de equivalência CLT vs. PJ, subestimando as taxas horárias ou mensais necessárias para uma contratação via pessoa jurídica saudável.</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Conclusão e Diretrizes de Engenharia para o CLTMotor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resposta conclusiva para a questão central formulada é: </w:t>
      </w:r>
      <w:r w:rsidDel="00000000" w:rsidR="00000000" w:rsidRPr="00000000">
        <w:rPr>
          <w:rFonts w:ascii="Arial" w:cs="Arial" w:eastAsia="Arial" w:hAnsi="Arial"/>
          <w:b w:val="1"/>
          <w:bCs w:val="1"/>
          <w:color w:val="1f1f1f"/>
          <w:rtl w:val="0"/>
        </w:rPr>
        <w:t xml:space="preserve">Não na forma proposta</w:t>
      </w:r>
      <w:r w:rsidDel="00000000" w:rsidR="00000000" w:rsidRPr="00000000">
        <w:rPr>
          <w:rFonts w:ascii="Arial" w:cs="Arial" w:eastAsia="Arial" w:hAnsi="Arial"/>
          <w:color w:val="1f1f1f"/>
          <w:rtl w:val="0"/>
        </w:rPr>
        <w:t xml:space="preserve">. A atual decomposição do cálculo CLT proposta para o motor </w:t>
      </w:r>
      <w:r w:rsidDel="00000000" w:rsidR="00000000" w:rsidRPr="00000000">
        <w:rPr>
          <w:rFonts w:ascii="Arial" w:cs="Arial" w:eastAsia="Arial" w:hAnsi="Arial"/>
          <w:b w:val="1"/>
          <w:bCs w:val="1"/>
          <w:color w:val="1f1f1f"/>
          <w:rtl w:val="0"/>
        </w:rPr>
        <w:t xml:space="preserve">não atende</w:t>
      </w:r>
      <w:r w:rsidDel="00000000" w:rsidR="00000000" w:rsidRPr="00000000">
        <w:rPr>
          <w:rFonts w:ascii="Arial" w:cs="Arial" w:eastAsia="Arial" w:hAnsi="Arial"/>
          <w:color w:val="1f1f1f"/>
          <w:rtl w:val="0"/>
        </w:rPr>
        <w:t xml:space="preserve"> aos requisitos de robustez e precisão matemática necessários para subsidiar decisões estratégicas de candidatos a vagas e de empregadores. Embora as premissas de progressividade de INSS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 a modelagem matemática do redutor de IRRF da Lei nº 15.270/2025 estejam perfeitamente alinhadas com as diretrizes fiscais de 2026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o motor falha criticamente nos seguintes aspectos de engenharia de dados:</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Adoção de um multiplicador corporativo fixo de 1,61x, gerando erros significativos de avaliação de custos trabalhistas, dependendo se o contratante é optante pelo Simples Nacional ou tributado pelo Lucro Real/Presumido.</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Erro metodológico de dupla contagem de fluxo de caixa ao diluir o valor de um salário de férias integral somado aos 12 salários recorrentes do ano, inflando artificialmente a remuneração real do candidato.</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transformar o CLTMotor em uma ferramenta de simulação de nível profissional, o algoritmo deve ser reestruturado conforme as diretrizes listadas abaixo:</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Diretrizes de Ajuste do Motor para Candidatos (Visualização Total Cash)</w:t>
      </w:r>
    </w:p>
    <w:p w:rsidR="00000000" w:rsidDel="00000000" w:rsidP="00000000" w:rsidRDefault="00000000" w:rsidRPr="00000000" w14:paraId="0000009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Substituição das Férias Brutas pelo Terço Constitucional Líquido:</w:t>
      </w:r>
      <w:r w:rsidDel="00000000" w:rsidR="00000000" w:rsidRPr="00000000">
        <w:rPr>
          <w:rFonts w:ascii="Arial" w:cs="Arial" w:eastAsia="Arial" w:hAnsi="Arial"/>
          <w:color w:val="1f1f1f"/>
          <w:rtl w:val="0"/>
        </w:rPr>
        <w:t xml:space="preserve"> O motor deve calcular e diluir estritamente o valor do terço constitucional líquido de impostos, somado ao 13º líquido de INSS e IRRF, eliminando a dupla contagem do salário básico de férias.</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A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Segregação Tributária do 13º e Férias:</w:t>
      </w:r>
      <w:r w:rsidDel="00000000" w:rsidR="00000000" w:rsidRPr="00000000">
        <w:rPr>
          <w:rFonts w:ascii="Arial" w:cs="Arial" w:eastAsia="Arial" w:hAnsi="Arial"/>
          <w:color w:val="1f1f1f"/>
          <w:rtl w:val="0"/>
        </w:rPr>
        <w:t xml:space="preserve"> Os cálculos do décimo terceiro salário e do terço de férias não devem ser tratados como uma extensão direta do salário líquido mensal ordinário do ano, visto que sofrem tributação própria na fonte e em momentos distintos.</w:t>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A equação corrigida do </w:t>
      </w:r>
      <w:r w:rsidDel="00000000" w:rsidR="00000000" w:rsidRPr="00000000">
        <w:rPr>
          <w:rFonts w:ascii="Arial" w:cs="Arial" w:eastAsia="Arial" w:hAnsi="Arial"/>
          <w:i w:val="1"/>
          <w:iCs w:val="1"/>
          <w:color w:val="1f1f1f"/>
          <w:rtl w:val="0"/>
        </w:rPr>
        <w:t xml:space="preserve">Total Cash</w:t>
      </w:r>
      <w:r w:rsidDel="00000000" w:rsidR="00000000" w:rsidRPr="00000000">
        <w:rPr>
          <w:rFonts w:ascii="Arial" w:cs="Arial" w:eastAsia="Arial" w:hAnsi="Arial"/>
          <w:color w:val="1f1f1f"/>
          <w:rtl w:val="0"/>
        </w:rPr>
        <w:t xml:space="preserve"> mensalizado para o candidato deve seguir a formulação: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30763"/>
            <wp:effectExtent b="0" l="0" r="0" t="0"/>
            <wp:docPr id="9"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05500" cy="53076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Diretrizes de Ajuste do Motor para Empregadores (Custo de Contratação)</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Abandono do Multiplicador Fixo (1,61x):</w:t>
      </w:r>
      <w:r w:rsidDel="00000000" w:rsidR="00000000" w:rsidRPr="00000000">
        <w:rPr>
          <w:rFonts w:ascii="Arial" w:cs="Arial" w:eastAsia="Arial" w:hAnsi="Arial"/>
          <w:color w:val="1f1f1f"/>
          <w:rtl w:val="0"/>
        </w:rPr>
        <w:t xml:space="preserve"> O motor de cálculos deve exigir, obrigatoriamente, a seleção do regime tributário da empresa contratante como parâmetro de entrada prioritário.</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Estrutura de Multiplicadores Dinâmicos:</w:t>
      </w:r>
      <w:r w:rsidDel="00000000" w:rsidR="00000000" w:rsidRPr="00000000">
        <w:rPr>
          <w:rFonts w:ascii="Arial" w:cs="Arial" w:eastAsia="Arial" w:hAnsi="Arial"/>
          <w:color w:val="1f1f1f"/>
          <w:rtl w:val="0"/>
        </w:rPr>
        <w:t xml:space="preserve"> O motor deve processar os encargos patronais de forma individualizada com base no regime selecionado:</w:t>
      </w:r>
    </w:p>
    <w:p w:rsidR="00000000" w:rsidDel="00000000" w:rsidP="00000000" w:rsidRDefault="00000000" w:rsidRPr="00000000" w14:paraId="000000A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Se </w:t>
      </w:r>
      <w:r w:rsidDel="00000000" w:rsidR="00000000" w:rsidRPr="00000000">
        <w:rPr>
          <w:rFonts w:ascii="Arial" w:cs="Arial" w:eastAsia="Arial" w:hAnsi="Arial"/>
          <w:b w:val="1"/>
          <w:bCs w:val="1"/>
          <w:color w:val="1f1f1f"/>
          <w:rtl w:val="0"/>
        </w:rPr>
        <w:t xml:space="preserve">Simples Nacional</w:t>
      </w:r>
      <w:r w:rsidDel="00000000" w:rsidR="00000000" w:rsidRPr="00000000">
        <w:rPr>
          <w:rFonts w:ascii="Arial" w:cs="Arial" w:eastAsia="Arial" w:hAnsi="Arial"/>
          <w:color w:val="1f1f1f"/>
          <w:rtl w:val="0"/>
        </w:rPr>
        <w:t xml:space="preserve"> (exceto Anexo IV): Aplicar um fator base aproximado de </w:t>
      </w:r>
      <w:r w:rsidDel="00000000" w:rsidR="00000000" w:rsidRPr="00000000">
        <w:rPr>
          <w:rFonts w:ascii="Arial" w:cs="Arial" w:eastAsia="Arial" w:hAnsi="Arial"/>
          <w:b w:val="1"/>
          <w:bCs w:val="1"/>
          <w:color w:val="1f1f1f"/>
          <w:rtl w:val="0"/>
        </w:rPr>
        <w:t xml:space="preserve">1,33x</w:t>
      </w:r>
      <w:r w:rsidDel="00000000" w:rsidR="00000000" w:rsidRPr="00000000">
        <w:rPr>
          <w:rFonts w:ascii="Arial" w:cs="Arial" w:eastAsia="Arial" w:hAnsi="Arial"/>
          <w:color w:val="1f1f1f"/>
          <w:rtl w:val="0"/>
        </w:rPr>
        <w:t xml:space="preserve"> sobre o bruto, acrescido da soma segregada do valor nominal de benefícios discricionários da empresa.</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Se </w:t>
      </w:r>
      <w:r w:rsidDel="00000000" w:rsidR="00000000" w:rsidRPr="00000000">
        <w:rPr>
          <w:rFonts w:ascii="Arial" w:cs="Arial" w:eastAsia="Arial" w:hAnsi="Arial"/>
          <w:b w:val="1"/>
          <w:bCs w:val="1"/>
          <w:color w:val="1f1f1f"/>
          <w:rtl w:val="0"/>
        </w:rPr>
        <w:t xml:space="preserve">Lucro Real ou Lucro Presumido</w:t>
      </w:r>
      <w:r w:rsidDel="00000000" w:rsidR="00000000" w:rsidRPr="00000000">
        <w:rPr>
          <w:rFonts w:ascii="Arial" w:cs="Arial" w:eastAsia="Arial" w:hAnsi="Arial"/>
          <w:color w:val="1f1f1f"/>
          <w:rtl w:val="0"/>
        </w:rPr>
        <w:t xml:space="preserve"> (e Simples Nacional Anexo IV): Aplicar um fator base mínimo aproximado de </w:t>
      </w:r>
      <w:r w:rsidDel="00000000" w:rsidR="00000000" w:rsidRPr="00000000">
        <w:rPr>
          <w:rFonts w:ascii="Arial" w:cs="Arial" w:eastAsia="Arial" w:hAnsi="Arial"/>
          <w:b w:val="1"/>
          <w:bCs w:val="1"/>
          <w:color w:val="1f1f1f"/>
          <w:rtl w:val="0"/>
        </w:rPr>
        <w:t xml:space="preserve">1,66x</w:t>
      </w:r>
      <w:r w:rsidDel="00000000" w:rsidR="00000000" w:rsidRPr="00000000">
        <w:rPr>
          <w:rFonts w:ascii="Arial" w:cs="Arial" w:eastAsia="Arial" w:hAnsi="Arial"/>
          <w:color w:val="1f1f1f"/>
          <w:rtl w:val="0"/>
        </w:rPr>
        <w:t xml:space="preserve"> sobre o bruto, de modo a refletir adequadamente o INSS Patronal de 20%, o RAT e a cota de terceiros, acrescido dos benefícios discricionários em termos absolutos.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Cálculo Automatizado dos Reflexos sobre Provisões:</w:t>
      </w:r>
      <w:r w:rsidDel="00000000" w:rsidR="00000000" w:rsidRPr="00000000">
        <w:rPr>
          <w:rFonts w:ascii="Arial" w:cs="Arial" w:eastAsia="Arial" w:hAnsi="Arial"/>
          <w:color w:val="1f1f1f"/>
          <w:rtl w:val="0"/>
        </w:rPr>
        <w:t xml:space="preserve"> Programar a incidência do FGTS e da contribuição patronal previdenciária (quando aplicável) de maneira incidente sobre as provisões mensais de férias e décimo terceiro salário, garantindo a exatidão exigida para fins de provisionamento e balanço de custos.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implementação das correções de engenharia tributária apresentadas neste relatório garantirá que o CLTMotor opere com rigorosa precisão centesimal, servindo como uma plataforma científica confiável para o planejamento orçamentário e negociações de remuneração no complexo ecossistema tributário pós-2026.</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Referências citadas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Trabalhista – Portaria Interministerial MPS/MF nº 13: nova tabela de contribuição do INSS para 2026 - Documentação Senior, acessado em maio 16, 2026, </w:t>
      </w:r>
      <w:hyperlink r:id="rId39">
        <w:r w:rsidDel="00000000" w:rsidR="00000000" w:rsidRPr="00000000">
          <w:rPr>
            <w:rFonts w:ascii="Arial" w:cs="Arial" w:eastAsia="Arial" w:hAnsi="Arial"/>
            <w:color w:val="0000ee"/>
            <w:sz w:val="24"/>
            <w:szCs w:val="24"/>
            <w:u w:val="single"/>
            <w:rtl w:val="0"/>
          </w:rPr>
          <w:t xml:space="preserve">https://documentacao.senior.com.br/exigenciaslegais/noticias/trabalhista-previdenciaria/2026/2026-01-12-trabalhista-portaria-interministerial-mps-mf-n-13-nova-tabela-de-contribuicao-do-inss-para-2026/</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Nova tabela do IR 2026: veja faixas e alíquotas - Jettax, acessado em maio 16, 2026, </w:t>
      </w:r>
      <w:hyperlink r:id="rId40">
        <w:r w:rsidDel="00000000" w:rsidR="00000000" w:rsidRPr="00000000">
          <w:rPr>
            <w:rFonts w:ascii="Arial" w:cs="Arial" w:eastAsia="Arial" w:hAnsi="Arial"/>
            <w:color w:val="0000ee"/>
            <w:sz w:val="24"/>
            <w:szCs w:val="24"/>
            <w:u w:val="single"/>
            <w:rtl w:val="0"/>
          </w:rPr>
          <w:t xml:space="preserve">https://www.jettax.com.br/blog/nova-tabela-do-ir-2026-veja-faixas-e-aliquotas/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Tabela INSS 2026 (com dedução): alíquotas e faixas de contribuição, acessado em maio 16, 2026, </w:t>
      </w:r>
      <w:hyperlink r:id="rId41">
        <w:r w:rsidDel="00000000" w:rsidR="00000000" w:rsidRPr="00000000">
          <w:rPr>
            <w:rFonts w:ascii="Arial" w:cs="Arial" w:eastAsia="Arial" w:hAnsi="Arial"/>
            <w:color w:val="0000ee"/>
            <w:sz w:val="24"/>
            <w:szCs w:val="24"/>
            <w:u w:val="single"/>
            <w:rtl w:val="0"/>
          </w:rPr>
          <w:t xml:space="preserve">https://www.contabilizei.com.br/contabilidade-online/tabela-inss/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Teto de pensionista e aposentado do INSS sobe para R$ 8.475,55 em 2026 | Agência Brasil, acessado em maio 16, 2026, </w:t>
      </w:r>
      <w:hyperlink r:id="rId42">
        <w:r w:rsidDel="00000000" w:rsidR="00000000" w:rsidRPr="00000000">
          <w:rPr>
            <w:rFonts w:ascii="Arial" w:cs="Arial" w:eastAsia="Arial" w:hAnsi="Arial"/>
            <w:color w:val="0000ee"/>
            <w:sz w:val="24"/>
            <w:szCs w:val="24"/>
            <w:u w:val="single"/>
            <w:rtl w:val="0"/>
          </w:rPr>
          <w:t xml:space="preserve">https://agenciabrasil.ebc.com.br/economia/noticia/2026-01/teto-de-pensionista-e-aposentado-do-inss-sobe-para-r-847555-em-2026</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 reajuste de 3,9%, teto do INSS chega a R$ 8.475,55 em 2026 - GOV.BR, acessado em maio 16, 2026, </w:t>
      </w:r>
      <w:hyperlink r:id="rId43">
        <w:r w:rsidDel="00000000" w:rsidR="00000000" w:rsidRPr="00000000">
          <w:rPr>
            <w:rFonts w:ascii="Arial" w:cs="Arial" w:eastAsia="Arial" w:hAnsi="Arial"/>
            <w:color w:val="0000ee"/>
            <w:sz w:val="24"/>
            <w:szCs w:val="24"/>
            <w:u w:val="single"/>
            <w:rtl w:val="0"/>
          </w:rPr>
          <w:t xml:space="preserve">https://www.gov.br/inss/pt-br/assuntos/com-reajuste-de-3-9-teto-do-inss-chega-a-r-8-475-55-em-2026</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Teto do INSS 2026: faixas e alíquotas de contribuições - André Beschizza Advogados, acessado em maio 16, 2026, </w:t>
      </w:r>
      <w:hyperlink r:id="rId44">
        <w:r w:rsidDel="00000000" w:rsidR="00000000" w:rsidRPr="00000000">
          <w:rPr>
            <w:rFonts w:ascii="Arial" w:cs="Arial" w:eastAsia="Arial" w:hAnsi="Arial"/>
            <w:color w:val="0000ee"/>
            <w:sz w:val="24"/>
            <w:szCs w:val="24"/>
            <w:u w:val="single"/>
            <w:rtl w:val="0"/>
          </w:rPr>
          <w:t xml:space="preserve">https://andrebeschizza.com.br/teto-inss/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Teto do INSS em 2026: valor atualizado, limite e quem tem direito - Banco Bmg, acessado em maio 16, 2026, </w:t>
      </w:r>
      <w:hyperlink r:id="rId45">
        <w:r w:rsidDel="00000000" w:rsidR="00000000" w:rsidRPr="00000000">
          <w:rPr>
            <w:rFonts w:ascii="Arial" w:cs="Arial" w:eastAsia="Arial" w:hAnsi="Arial"/>
            <w:color w:val="0000ee"/>
            <w:sz w:val="24"/>
            <w:szCs w:val="24"/>
            <w:u w:val="single"/>
            <w:rtl w:val="0"/>
          </w:rPr>
          <w:t xml:space="preserve">https://www.bancobmg.com.br/blog/educacao-financeira/teto-do-inss-em-2026-valor-atualizado-limite-e-quem-tem-direito/</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Teto INSS 2026: Valor e alíquotas de contribuição - Contabilizei, acessado em maio 16, 2026, </w:t>
      </w:r>
      <w:hyperlink r:id="rId46">
        <w:r w:rsidDel="00000000" w:rsidR="00000000" w:rsidRPr="00000000">
          <w:rPr>
            <w:rFonts w:ascii="Arial" w:cs="Arial" w:eastAsia="Arial" w:hAnsi="Arial"/>
            <w:color w:val="0000ee"/>
            <w:sz w:val="24"/>
            <w:szCs w:val="24"/>
            <w:u w:val="single"/>
            <w:rtl w:val="0"/>
          </w:rPr>
          <w:t xml:space="preserve">https://www.contabilizei.com.br/contabilidade-online/teto-inss/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Sancionada Lei 15.270/2025 que tributa dividendos e altera regras do IRPF - Trench Rossi Watanabe, acessado em maio 16, 2026, </w:t>
      </w:r>
      <w:hyperlink r:id="rId47">
        <w:r w:rsidDel="00000000" w:rsidR="00000000" w:rsidRPr="00000000">
          <w:rPr>
            <w:rFonts w:ascii="Arial" w:cs="Arial" w:eastAsia="Arial" w:hAnsi="Arial"/>
            <w:color w:val="0000ee"/>
            <w:sz w:val="24"/>
            <w:szCs w:val="24"/>
            <w:u w:val="single"/>
            <w:rtl w:val="0"/>
          </w:rPr>
          <w:t xml:space="preserve">https://www.trenchrossi.com/alertas-legais/sancionada-lei-15-270-2025-que-tributa-dividendos-e-altera-regras-do-irpf/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URGENTE- IRPF – Tabela Progressiva - Aplicação do redutor ao IRRF nos pagamentos efetuados em Janeiro/2026 - Portal CPA, acessado em maio 16, 2026, </w:t>
      </w:r>
      <w:hyperlink r:id="rId48">
        <w:r w:rsidDel="00000000" w:rsidR="00000000" w:rsidRPr="00000000">
          <w:rPr>
            <w:rFonts w:ascii="Arial" w:cs="Arial" w:eastAsia="Arial" w:hAnsi="Arial"/>
            <w:color w:val="0000ee"/>
            <w:sz w:val="24"/>
            <w:szCs w:val="24"/>
            <w:u w:val="single"/>
            <w:rtl w:val="0"/>
          </w:rPr>
          <w:t xml:space="preserve">https://netcpa.com.br/noticias/urgente-irpf-tabela-progressiva-aplicacao-do-redutor-ao-irrf-nos-pagamentos-efetuados-em-janeiro2026/23335</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Tributação de 2026 — Receita Federal - GOV.BR, acessado em maio 16, 2026, </w:t>
      </w:r>
      <w:hyperlink r:id="rId49">
        <w:r w:rsidDel="00000000" w:rsidR="00000000" w:rsidRPr="00000000">
          <w:rPr>
            <w:rFonts w:ascii="Arial" w:cs="Arial" w:eastAsia="Arial" w:hAnsi="Arial"/>
            <w:color w:val="0000ee"/>
            <w:sz w:val="24"/>
            <w:szCs w:val="24"/>
            <w:u w:val="single"/>
            <w:rtl w:val="0"/>
          </w:rPr>
          <w:t xml:space="preserve">https://www.gov.br/receitafederal/pt-br/assuntos/meu-imposto-de-renda/tabelas/2026</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Quanto custa um funcionário para a empresa? Veja como calcular - Contabilizei, acessado em maio 16, 2026, </w:t>
      </w:r>
      <w:hyperlink r:id="rId50">
        <w:r w:rsidDel="00000000" w:rsidR="00000000" w:rsidRPr="00000000">
          <w:rPr>
            <w:rFonts w:ascii="Arial" w:cs="Arial" w:eastAsia="Arial" w:hAnsi="Arial"/>
            <w:color w:val="0000ee"/>
            <w:sz w:val="24"/>
            <w:szCs w:val="24"/>
            <w:u w:val="single"/>
            <w:rtl w:val="0"/>
          </w:rPr>
          <w:t xml:space="preserve">https://www.contabilizei.com.br/contabilidade-online/quanto-custa-um-funcionario-para-empresa/</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 que são encargos trabalhistas? Calcule o custo dos funcionários - AG Capital TaxTech, acessado em maio 16, 2026, </w:t>
      </w:r>
      <w:hyperlink r:id="rId51">
        <w:r w:rsidDel="00000000" w:rsidR="00000000" w:rsidRPr="00000000">
          <w:rPr>
            <w:rFonts w:ascii="Arial" w:cs="Arial" w:eastAsia="Arial" w:hAnsi="Arial"/>
            <w:color w:val="0000ee"/>
            <w:sz w:val="24"/>
            <w:szCs w:val="24"/>
            <w:u w:val="single"/>
            <w:rtl w:val="0"/>
          </w:rPr>
          <w:t xml:space="preserve">https://www.agcapital.com.br/blog/42-o-que-sao-encargos-trabalhistas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Encargos trabalhistas: quanto custa um funcionário? [Tabela] - Treasy, acessado em maio 16, 2026, </w:t>
      </w:r>
      <w:hyperlink r:id="rId52">
        <w:r w:rsidDel="00000000" w:rsidR="00000000" w:rsidRPr="00000000">
          <w:rPr>
            <w:rFonts w:ascii="Arial" w:cs="Arial" w:eastAsia="Arial" w:hAnsi="Arial"/>
            <w:color w:val="0000ee"/>
            <w:sz w:val="24"/>
            <w:szCs w:val="24"/>
            <w:u w:val="single"/>
            <w:rtl w:val="0"/>
          </w:rPr>
          <w:t xml:space="preserve">https://www.treasy.com.br/blog/encargos-trabalhistas/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 de funcionário 2026: calculadora CLT, PJ e encargos - Contajá, acessado em maio 16, 2026, </w:t>
      </w:r>
      <w:hyperlink r:id="rId53">
        <w:r w:rsidDel="00000000" w:rsidR="00000000" w:rsidRPr="00000000">
          <w:rPr>
            <w:rFonts w:ascii="Arial" w:cs="Arial" w:eastAsia="Arial" w:hAnsi="Arial"/>
            <w:color w:val="0000ee"/>
            <w:sz w:val="24"/>
            <w:szCs w:val="24"/>
            <w:u w:val="single"/>
            <w:rtl w:val="0"/>
          </w:rPr>
          <w:t xml:space="preserve">https://contaja.com.br/blog/quanto-custa-um-funcionario-para-empresa/</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Guia de como calcular o custo por funcionário por regime tributário - Flash, acessado em maio 16, 2026, </w:t>
      </w:r>
      <w:hyperlink r:id="rId54">
        <w:r w:rsidDel="00000000" w:rsidR="00000000" w:rsidRPr="00000000">
          <w:rPr>
            <w:rFonts w:ascii="Arial" w:cs="Arial" w:eastAsia="Arial" w:hAnsi="Arial"/>
            <w:color w:val="0000ee"/>
            <w:sz w:val="24"/>
            <w:szCs w:val="24"/>
            <w:u w:val="single"/>
            <w:rtl w:val="0"/>
          </w:rPr>
          <w:t xml:space="preserve">https://flashapp.com.br/blog/custo-por-funcionario</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 de Funcionário CLT 2026: Encargos e Cálculo ... - CalculaBrasil, acessado em maio 16, 2026, </w:t>
      </w:r>
      <w:hyperlink r:id="rId55">
        <w:r w:rsidDel="00000000" w:rsidR="00000000" w:rsidRPr="00000000">
          <w:rPr>
            <w:rFonts w:ascii="Arial" w:cs="Arial" w:eastAsia="Arial" w:hAnsi="Arial"/>
            <w:color w:val="0000ee"/>
            <w:sz w:val="24"/>
            <w:szCs w:val="24"/>
            <w:u w:val="single"/>
            <w:rtl w:val="0"/>
          </w:rPr>
          <w:t xml:space="preserve">https://calculabrasil.com/blog/custo-funcionario-clt-2026</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 de Funcionário - - Meu Contador Online, acessado em maio 16, 2026, </w:t>
      </w:r>
      <w:hyperlink r:id="rId56">
        <w:r w:rsidDel="00000000" w:rsidR="00000000" w:rsidRPr="00000000">
          <w:rPr>
            <w:rFonts w:ascii="Arial" w:cs="Arial" w:eastAsia="Arial" w:hAnsi="Arial"/>
            <w:color w:val="0000ee"/>
            <w:sz w:val="24"/>
            <w:szCs w:val="24"/>
            <w:u w:val="single"/>
            <w:rtl w:val="0"/>
          </w:rPr>
          <w:t xml:space="preserve">https://www.meucontadoronline.com.br/blog/custo-de-funcionario/</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Encargos trabalhistas CLT: quais são os custos e como calcular? | BTG Pactual, acessado em maio 16, 2026, </w:t>
      </w:r>
      <w:hyperlink r:id="rId57">
        <w:r w:rsidDel="00000000" w:rsidR="00000000" w:rsidRPr="00000000">
          <w:rPr>
            <w:rFonts w:ascii="Arial" w:cs="Arial" w:eastAsia="Arial" w:hAnsi="Arial"/>
            <w:color w:val="0000ee"/>
            <w:sz w:val="24"/>
            <w:szCs w:val="24"/>
            <w:u w:val="single"/>
            <w:rtl w:val="0"/>
          </w:rPr>
          <w:t xml:space="preserve">https://content.btgpactual.com/blog/gestao/encargos-trabalhistas-clt-quais-sao-os-custos-e-como-calcular</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PJ ou CLT: como calcular para ter ganhos semelhantes - YouTube, acessado em maio 16, 2026, </w:t>
      </w:r>
      <w:hyperlink r:id="rId58">
        <w:r w:rsidDel="00000000" w:rsidR="00000000" w:rsidRPr="00000000">
          <w:rPr>
            <w:rFonts w:ascii="Arial" w:cs="Arial" w:eastAsia="Arial" w:hAnsi="Arial"/>
            <w:color w:val="0000ee"/>
            <w:sz w:val="24"/>
            <w:szCs w:val="24"/>
            <w:u w:val="single"/>
            <w:rtl w:val="0"/>
          </w:rPr>
          <w:t xml:space="preserve">https://www.youtube.com/watch?v=eV3WQ-JHWgY</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Como comparar um salário CLT vs salário PJ - YouTube, acessado em maio 16, 2026, </w:t>
      </w:r>
      <w:hyperlink r:id="rId59">
        <w:r w:rsidDel="00000000" w:rsidR="00000000" w:rsidRPr="00000000">
          <w:rPr>
            <w:rFonts w:ascii="Arial" w:cs="Arial" w:eastAsia="Arial" w:hAnsi="Arial"/>
            <w:color w:val="0000ee"/>
            <w:sz w:val="24"/>
            <w:szCs w:val="24"/>
            <w:u w:val="single"/>
            <w:rtl w:val="0"/>
          </w:rPr>
          <w:t xml:space="preserve">https://www.youtube.com/watch?v=wAByJ0GfRNI</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PJ (self-employed/contractor) salary: How to calculate it? - YouTube, acessado em maio 16, 2026, </w:t>
      </w:r>
      <w:hyperlink r:id="rId60">
        <w:r w:rsidDel="00000000" w:rsidR="00000000" w:rsidRPr="00000000">
          <w:rPr>
            <w:rFonts w:ascii="Arial" w:cs="Arial" w:eastAsia="Arial" w:hAnsi="Arial"/>
            <w:color w:val="0000ee"/>
            <w:sz w:val="24"/>
            <w:szCs w:val="24"/>
            <w:u w:val="single"/>
            <w:rtl w:val="0"/>
          </w:rPr>
          <w:t xml:space="preserve">https://www.youtube.com/watch?v=XR9fQRT0PLI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ettax.com.br/blog/nova-tabela-do-ir-2026-veja-faixas-e-aliquotas/" TargetMode="External"/><Relationship Id="rId42" Type="http://schemas.openxmlformats.org/officeDocument/2006/relationships/hyperlink" Target="https://agenciabrasil.ebc.com.br/economia/noticia/2026-01/teto-de-pensionista-e-aposentado-do-inss-sobe-para-r-847555-em-2026" TargetMode="External"/><Relationship Id="rId41" Type="http://schemas.openxmlformats.org/officeDocument/2006/relationships/hyperlink" Target="https://www.contabilizei.com.br/contabilidade-online/tabela-inss/" TargetMode="External"/><Relationship Id="rId44" Type="http://schemas.openxmlformats.org/officeDocument/2006/relationships/hyperlink" Target="https://andrebeschizza.com.br/teto-inss/" TargetMode="External"/><Relationship Id="rId43" Type="http://schemas.openxmlformats.org/officeDocument/2006/relationships/hyperlink" Target="https://www.gov.br/inss/pt-br/assuntos/com-reajuste-de-3-9-teto-do-inss-chega-a-r-8-475-55-em-2026" TargetMode="External"/><Relationship Id="rId46" Type="http://schemas.openxmlformats.org/officeDocument/2006/relationships/hyperlink" Target="https://www.contabilizei.com.br/contabilidade-online/teto-inss/" TargetMode="External"/><Relationship Id="rId45" Type="http://schemas.openxmlformats.org/officeDocument/2006/relationships/hyperlink" Target="https://www.bancobmg.com.br/blog/educacao-financeira/teto-do-inss-em-2026-valor-atualizado-limite-e-quem-tem-direi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hyperlink" Target="https://netcpa.com.br/noticias/urgente-irpf-tabela-progressiva-aplicacao-do-redutor-ao-irrf-nos-pagamentos-efetuados-em-janeiro2026/23335" TargetMode="External"/><Relationship Id="rId47" Type="http://schemas.openxmlformats.org/officeDocument/2006/relationships/hyperlink" Target="https://www.trenchrossi.com/alertas-legais/sancionada-lei-15-270-2025-que-tributa-dividendos-e-altera-regras-do-irpf/" TargetMode="External"/><Relationship Id="rId49" Type="http://schemas.openxmlformats.org/officeDocument/2006/relationships/hyperlink" Target="https://www.gov.br/receitafederal/pt-br/assuntos/meu-imposto-de-renda/tabelas/2026"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3.png"/><Relationship Id="rId8" Type="http://schemas.openxmlformats.org/officeDocument/2006/relationships/image" Target="media/image21.png"/><Relationship Id="rId31" Type="http://schemas.openxmlformats.org/officeDocument/2006/relationships/image" Target="media/image8.png"/><Relationship Id="rId30" Type="http://schemas.openxmlformats.org/officeDocument/2006/relationships/image" Target="media/image5.png"/><Relationship Id="rId33" Type="http://schemas.openxmlformats.org/officeDocument/2006/relationships/image" Target="media/image13.png"/><Relationship Id="rId32" Type="http://schemas.openxmlformats.org/officeDocument/2006/relationships/image" Target="media/image26.png"/><Relationship Id="rId35" Type="http://schemas.openxmlformats.org/officeDocument/2006/relationships/image" Target="media/image3.png"/><Relationship Id="rId34" Type="http://schemas.openxmlformats.org/officeDocument/2006/relationships/image" Target="media/image12.png"/><Relationship Id="rId37" Type="http://schemas.openxmlformats.org/officeDocument/2006/relationships/image" Target="media/image1.png"/><Relationship Id="rId36" Type="http://schemas.openxmlformats.org/officeDocument/2006/relationships/image" Target="media/image32.png"/><Relationship Id="rId39" Type="http://schemas.openxmlformats.org/officeDocument/2006/relationships/hyperlink" Target="https://documentacao.senior.com.br/exigenciaslegais/noticias/trabalhista-previdenciaria/2026/2026-01-12-trabalhista-portaria-interministerial-mps-mf-n-13-nova-tabela-de-contribuicao-do-inss-para-2026/" TargetMode="External"/><Relationship Id="rId38" Type="http://schemas.openxmlformats.org/officeDocument/2006/relationships/image" Target="media/image27.png"/><Relationship Id="rId20" Type="http://schemas.openxmlformats.org/officeDocument/2006/relationships/image" Target="media/image19.png"/><Relationship Id="rId22" Type="http://schemas.openxmlformats.org/officeDocument/2006/relationships/image" Target="media/image25.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9.png"/><Relationship Id="rId60" Type="http://schemas.openxmlformats.org/officeDocument/2006/relationships/hyperlink" Target="https://www.youtube.com/watch?v=XR9fQRT0PLI" TargetMode="External"/><Relationship Id="rId26" Type="http://schemas.openxmlformats.org/officeDocument/2006/relationships/image" Target="media/image2.png"/><Relationship Id="rId25" Type="http://schemas.openxmlformats.org/officeDocument/2006/relationships/image" Target="media/image11.png"/><Relationship Id="rId28" Type="http://schemas.openxmlformats.org/officeDocument/2006/relationships/image" Target="media/image15.png"/><Relationship Id="rId27" Type="http://schemas.openxmlformats.org/officeDocument/2006/relationships/image" Target="media/image6.png"/><Relationship Id="rId29" Type="http://schemas.openxmlformats.org/officeDocument/2006/relationships/image" Target="media/image14.png"/><Relationship Id="rId51" Type="http://schemas.openxmlformats.org/officeDocument/2006/relationships/hyperlink" Target="https://www.agcapital.com.br/blog/42-o-que-sao-encargos-trabalhistas" TargetMode="External"/><Relationship Id="rId50" Type="http://schemas.openxmlformats.org/officeDocument/2006/relationships/hyperlink" Target="https://www.contabilizei.com.br/contabilidade-online/quanto-custa-um-funcionario-para-empresa/" TargetMode="External"/><Relationship Id="rId53" Type="http://schemas.openxmlformats.org/officeDocument/2006/relationships/hyperlink" Target="https://contaja.com.br/blog/quanto-custa-um-funcionario-para-empresa/" TargetMode="External"/><Relationship Id="rId52" Type="http://schemas.openxmlformats.org/officeDocument/2006/relationships/hyperlink" Target="https://www.treasy.com.br/blog/encargos-trabalhistas/" TargetMode="External"/><Relationship Id="rId11" Type="http://schemas.openxmlformats.org/officeDocument/2006/relationships/image" Target="media/image18.png"/><Relationship Id="rId55" Type="http://schemas.openxmlformats.org/officeDocument/2006/relationships/hyperlink" Target="https://calculabrasil.com/blog/custo-funcionario-clt-2026" TargetMode="External"/><Relationship Id="rId10" Type="http://schemas.openxmlformats.org/officeDocument/2006/relationships/image" Target="media/image16.png"/><Relationship Id="rId54" Type="http://schemas.openxmlformats.org/officeDocument/2006/relationships/hyperlink" Target="https://flashapp.com.br/blog/custo-por-funcionario" TargetMode="External"/><Relationship Id="rId13" Type="http://schemas.openxmlformats.org/officeDocument/2006/relationships/image" Target="media/image28.png"/><Relationship Id="rId57" Type="http://schemas.openxmlformats.org/officeDocument/2006/relationships/hyperlink" Target="https://content.btgpactual.com/blog/gestao/encargos-trabalhistas-clt-quais-sao-os-custos-e-como-calcular" TargetMode="External"/><Relationship Id="rId12" Type="http://schemas.openxmlformats.org/officeDocument/2006/relationships/image" Target="media/image20.png"/><Relationship Id="rId56" Type="http://schemas.openxmlformats.org/officeDocument/2006/relationships/hyperlink" Target="https://www.meucontadoronline.com.br/blog/custo-de-funcionario/" TargetMode="External"/><Relationship Id="rId15" Type="http://schemas.openxmlformats.org/officeDocument/2006/relationships/image" Target="media/image23.png"/><Relationship Id="rId59" Type="http://schemas.openxmlformats.org/officeDocument/2006/relationships/hyperlink" Target="https://www.youtube.com/watch?v=wAByJ0GfRNI" TargetMode="External"/><Relationship Id="rId14" Type="http://schemas.openxmlformats.org/officeDocument/2006/relationships/image" Target="media/image17.png"/><Relationship Id="rId58" Type="http://schemas.openxmlformats.org/officeDocument/2006/relationships/hyperlink" Target="https://www.youtube.com/watch?v=eV3WQ-JHWgY" TargetMode="External"/><Relationship Id="rId17" Type="http://schemas.openxmlformats.org/officeDocument/2006/relationships/image" Target="media/image29.png"/><Relationship Id="rId16" Type="http://schemas.openxmlformats.org/officeDocument/2006/relationships/image" Target="media/image22.png"/><Relationship Id="rId19" Type="http://schemas.openxmlformats.org/officeDocument/2006/relationships/image" Target="media/image30.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