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drawing>
          <wp:inline distT="0" distB="0" distL="0" distR="0">
            <wp:extent cx="1143000" cy="1143000"/>
            <wp:effectExtent t="0" r="0" b="0" l="0"/>
            <wp:docPr id="1" name="cidr-logo" descr="CiDR Lab logo mark" title="CiDR La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40"/>
        <w:jc w:val="center"/>
      </w:pPr>
      <w:r>
        <w:rPr>
          <w:rFonts w:ascii="DM Sans" w:cs="DM Sans" w:eastAsia="DM Sans" w:hAnsi="DM Sans"/>
          <w:b/>
          <w:bCs/>
          <w:color w:val="19222C"/>
          <w:sz w:val="52"/>
          <w:szCs w:val="52"/>
        </w:rPr>
        <w:t xml:space="preserve">Boondock Map</w:t>
      </w:r>
    </w:p>
    <w:p>
      <w:pPr>
        <w:spacing w:after="20"/>
        <w:jc w:val="center"/>
      </w:pPr>
      <w:r>
        <w:rPr>
          <w:rFonts w:ascii="DM Sans" w:cs="DM Sans" w:eastAsia="DM Sans" w:hAnsi="DM Sans"/>
          <w:color w:val="F9322B"/>
          <w:spacing w:val="200"/>
          <w:sz w:val="24"/>
          <w:szCs w:val="24"/>
        </w:rPr>
        <w:t xml:space="preserve">BRAND &amp; STYLE GUIDE</w:t>
      </w:r>
    </w:p>
    <w:p>
      <w:pPr>
        <w:spacing w:after="400"/>
        <w:jc w:val="center"/>
      </w:pPr>
      <w:r>
        <w:rPr>
          <w:rFonts w:ascii="DM Sans" w:cs="DM Sans" w:eastAsia="DM Sans" w:hAnsi="DM Sans"/>
          <w:color w:val="223754"/>
          <w:sz w:val="20"/>
          <w:szCs w:val="20"/>
        </w:rPr>
        <w:t xml:space="preserve">Collective Impact Data &amp; Research Lab</w:t>
      </w:r>
    </w:p>
    <w:p>
      <w:pPr>
        <w:pBdr>
          <w:top w:val="single" w:color="F9322B" w:sz="2" w:space="8"/>
        </w:pBdr>
        <w:spacing w:after="60"/>
        <w:jc w:val="center"/>
      </w:pPr>
      <w:r>
        <w:rPr>
          <w:rFonts w:ascii="DM Sans" w:cs="DM Sans" w:eastAsia="DM Sans" w:hAnsi="DM Sans"/>
          <w:color w:val="888888"/>
          <w:sz w:val="18"/>
          <w:szCs w:val="18"/>
        </w:rPr>
        <w:t xml:space="preserve">Version 1.0  |  April 2026</w:t>
      </w:r>
    </w:p>
    <w:p>
      <w:pPr>
        <w:pStyle w:val="Heading1"/>
      </w:pPr>
      <w:r>
        <w:t xml:space="preserve">Overview</w:t>
      </w:r>
    </w:p>
    <w:p>
      <w:pPr>
        <w:spacing w:after="200"/>
      </w:pPr>
      <w:r>
        <w:t xml:space="preserve">Boondock Map is an offline-capable topo map application built by the CiDR Lab for boondocking, hiking, and off-road exploration. The app follows CiDR Lab brand guidelines to maintain visual consistency across the lab's products and research tools.</w:t>
      </w:r>
    </w:p>
    <w:p>
      <w:pPr>
        <w:spacing w:after="200"/>
      </w:pPr>
      <w:r>
        <w:t xml:space="preserve">This document defines the color palette, typography, iconography, and UI patterns used in the Boondock Map application. All styling decisions derive from the CiDR Lab master brand (see </w:t>
      </w:r>
      <w:r>
        <w:rPr>
          <w:i/>
          <w:iCs/>
        </w:rPr>
        <w:t xml:space="preserve">BRAND.md</w:t>
      </w:r>
      <w:r>
        <w:t xml:space="preserve"> in the CiDR Lab library repository).</w:t>
      </w:r>
    </w:p>
    <w:p>
      <w:pPr>
        <w:pStyle w:val="Heading1"/>
      </w:pPr>
      <w:r>
        <w:t xml:space="preserve">Color Palette</w:t>
      </w:r>
    </w:p>
    <w:p>
      <w:pPr>
        <w:spacing w:after="200"/>
      </w:pPr>
      <w:r>
        <w:t xml:space="preserve">The Boondock Map palette is derived directly from the CiDR Lab brand colors, adapted for a dark-theme map application. The three brand colors anchor the interface, with derived tints and opacities filling out the full dark UI system.</w:t>
      </w:r>
    </w:p>
    <w:p>
      <w:pPr>
        <w:pStyle w:val="Heading2"/>
      </w:pPr>
      <w:r>
        <w:t xml:space="preserve">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Hex</w:t>
            </w:r>
          </w:p>
        </w:tc>
        <w:tc>
          <w:tcPr>
            <w:tcW w:type="dxa" w:w="288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CiDR Role</w:t>
            </w:r>
          </w:p>
        </w:tc>
        <w:tc>
          <w:tcPr>
            <w:tcW w:type="dxa" w:w="288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Boondock Usage</w:t>
            </w:r>
          </w:p>
        </w:tc>
      </w:tr>
      <w:tr>
        <w:tc>
          <w:tcPr>
            <w:tcW w:type="dxa" w:w="1800"/>
            <w:tcBorders>
              <w:top w:val="single" w:color="CCCCCC" w:sz="1"/>
              <w:left w:val="single" w:color="CCCCCC" w:sz="1"/>
              <w:bottom w:val="single" w:color="CCCCCC" w:sz="1"/>
              <w:right w:val="single" w:color="CCCCCC" w:sz="1"/>
            </w:tcBorders>
            <w:shd w:fill="F9322B" w:val="clear"/>
            <w:tcMar>
              <w:top w:type="dxa" w:w="80"/>
              <w:left w:type="dxa" w:w="120"/>
              <w:bottom w:type="dxa" w:w="80"/>
              <w:right w:type="dxa" w:w="120"/>
            </w:tcMar>
          </w:tcPr>
          <w:p>
            <w:r>
              <w:rPr>
                <w:b/>
                <w:bCs/>
                <w:color w:val="FFFFFF"/>
                <w:sz w:val="20"/>
                <w:szCs w:val="20"/>
              </w:rPr>
              <w:t xml:space="preserve">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#F9322B</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accent, mark circle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--accent, buttons, record, active track, default waypoint pin</w:t>
            </w:r>
          </w:p>
        </w:tc>
      </w:tr>
      <w:tr>
        <w:tc>
          <w:tcPr>
            <w:tcW w:type="dxa" w:w="180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b/>
                <w:bCs/>
                <w:color w:val="FFFFFF"/>
                <w:sz w:val="20"/>
                <w:szCs w:val="20"/>
              </w:rPr>
              <w:t xml:space="preserve">Dark Navy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#19222C</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Headers, footers, dark backgrounds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--bg-secondary, toolbar, sidebar, glass overlays</w:t>
            </w:r>
          </w:p>
        </w:tc>
      </w:tr>
      <w:tr>
        <w:tc>
          <w:tcPr>
            <w:tcW w:type="dxa" w:w="1800"/>
            <w:tcBorders>
              <w:top w:val="single" w:color="CCCCCC" w:sz="1"/>
              <w:left w:val="single" w:color="CCCCCC" w:sz="1"/>
              <w:bottom w:val="single" w:color="CCCCCC" w:sz="1"/>
              <w:right w:val="single" w:color="CCCCCC" w:sz="1"/>
            </w:tcBorders>
            <w:shd w:fill="223754" w:val="clear"/>
            <w:tcMar>
              <w:top w:type="dxa" w:w="80"/>
              <w:left w:type="dxa" w:w="120"/>
              <w:bottom w:type="dxa" w:w="80"/>
              <w:right w:type="dxa" w:w="120"/>
            </w:tcMar>
          </w:tcPr>
          <w:p>
            <w:r>
              <w:rPr>
                <w:b/>
                <w:bCs/>
                <w:color w:val="FFFFFF"/>
                <w:sz w:val="20"/>
                <w:szCs w:val="20"/>
              </w:rPr>
              <w:t xml:space="preserve">Blue Navy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#223754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Body text, nav, secondary accent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--bg-elevated, layer cards, elevated surfaces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color w:val="19222C"/>
                <w:sz w:val="20"/>
                <w:szCs w:val="20"/>
              </w:rPr>
              <w:t xml:space="preserve">Cool Blue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#e8eef4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Light background tint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--text-primary, primary text color against dark navy</w:t>
            </w:r>
          </w:p>
        </w:tc>
      </w:tr>
    </w:tbl>
    <w:p>
      <w:pPr>
        <w:pStyle w:val="Heading2"/>
        <w:spacing w:before="360"/>
      </w:pPr>
      <w:r>
        <w:t xml:space="preserve">Dark Theme Background Ramp</w:t>
      </w:r>
    </w:p>
    <w:p>
      <w:pPr>
        <w:spacing w:after="200"/>
      </w:pPr>
      <w:r>
        <w:t xml:space="preserve">The background ramp extends the brand navy into a smooth gradient for layered UI depth. Each step is derived from the CiDR dark and blue navies.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CSS Variable</w:t>
            </w:r>
          </w:p>
        </w:tc>
        <w:tc>
          <w:tcPr>
            <w:tcW w:type="dxa" w:w="180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Hex</w:t>
            </w:r>
          </w:p>
        </w:tc>
        <w:tc>
          <w:tcPr>
            <w:tcW w:type="dxa" w:w="516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--bg-primary</w:t>
            </w:r>
          </w:p>
        </w:tc>
        <w:tc>
          <w:tcPr>
            <w:tcW w:type="dxa" w:w="1800"/>
            <w:tcBorders>
              <w:top w:val="single" w:color="CCCCCC" w:sz="1"/>
              <w:left w:val="single" w:color="CCCCCC" w:sz="1"/>
              <w:bottom w:val="single" w:color="CCCCCC" w:sz="1"/>
              <w:right w:val="single" w:color="CCCCCC" w:sz="1"/>
            </w:tcBorders>
            <w:shd w:fill="10151c" w:val="clear"/>
            <w:tcMar>
              <w:top w:type="dxa" w:w="60"/>
              <w:left w:type="dxa" w:w="120"/>
              <w:bottom w:type="dxa" w:w="60"/>
              <w:right w:type="dxa" w:w="120"/>
            </w:tcMar>
          </w:tcPr>
          <w:p>
            <w:r>
              <w:rPr>
                <w:rFonts w:ascii="Courier New" w:cs="Courier New" w:eastAsia="Courier New" w:hAnsi="Courier New"/>
                <w:color w:val="FFFFFF"/>
                <w:sz w:val="20"/>
                <w:szCs w:val="20"/>
              </w:rPr>
              <w:t xml:space="preserve">#10151c</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App background, deepest layer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--bg-secondary</w:t>
            </w:r>
          </w:p>
        </w:tc>
        <w:tc>
          <w:tcPr>
            <w:tcW w:type="dxa" w:w="1800"/>
            <w:tcBorders>
              <w:top w:val="single" w:color="CCCCCC" w:sz="1"/>
              <w:left w:val="single" w:color="CCCCCC" w:sz="1"/>
              <w:bottom w:val="single" w:color="CCCCCC" w:sz="1"/>
              <w:right w:val="single" w:color="CCCCCC" w:sz="1"/>
            </w:tcBorders>
            <w:shd w:fill="19222C" w:val="clear"/>
            <w:tcMar>
              <w:top w:type="dxa" w:w="60"/>
              <w:left w:type="dxa" w:w="120"/>
              <w:bottom w:type="dxa" w:w="60"/>
              <w:right w:type="dxa" w:w="120"/>
            </w:tcMar>
          </w:tcPr>
          <w:p>
            <w:r>
              <w:rPr>
                <w:rFonts w:ascii="Courier New" w:cs="Courier New" w:eastAsia="Courier New" w:hAnsi="Courier New"/>
                <w:color w:val="FFFFFF"/>
                <w:sz w:val="20"/>
                <w:szCs w:val="20"/>
              </w:rPr>
              <w:t xml:space="preserve">#19222C</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Toolbar, sidebar, modals (CiDR dark navy)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--bg-tertiary</w:t>
            </w:r>
          </w:p>
        </w:tc>
        <w:tc>
          <w:tcPr>
            <w:tcW w:type="dxa" w:w="1800"/>
            <w:tcBorders>
              <w:top w:val="single" w:color="CCCCCC" w:sz="1"/>
              <w:left w:val="single" w:color="CCCCCC" w:sz="1"/>
              <w:bottom w:val="single" w:color="CCCCCC" w:sz="1"/>
              <w:right w:val="single" w:color="CCCCCC" w:sz="1"/>
            </w:tcBorders>
            <w:shd w:fill="1e2a38" w:val="clear"/>
            <w:tcMar>
              <w:top w:type="dxa" w:w="60"/>
              <w:left w:type="dxa" w:w="120"/>
              <w:bottom w:type="dxa" w:w="60"/>
              <w:right w:type="dxa" w:w="120"/>
            </w:tcMar>
          </w:tcPr>
          <w:p>
            <w:r>
              <w:rPr>
                <w:rFonts w:ascii="Courier New" w:cs="Courier New" w:eastAsia="Courier New" w:hAnsi="Courier New"/>
                <w:color w:val="FFFFFF"/>
                <w:sz w:val="20"/>
                <w:szCs w:val="20"/>
              </w:rPr>
              <w:t xml:space="preserve">#1e2a38</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Input fields, nested containers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--bg-elevated</w:t>
            </w:r>
          </w:p>
        </w:tc>
        <w:tc>
          <w:tcPr>
            <w:tcW w:type="dxa" w:w="1800"/>
            <w:tcBorders>
              <w:top w:val="single" w:color="CCCCCC" w:sz="1"/>
              <w:left w:val="single" w:color="CCCCCC" w:sz="1"/>
              <w:bottom w:val="single" w:color="CCCCCC" w:sz="1"/>
              <w:right w:val="single" w:color="CCCCCC" w:sz="1"/>
            </w:tcBorders>
            <w:shd w:fill="223754" w:val="clear"/>
            <w:tcMar>
              <w:top w:type="dxa" w:w="60"/>
              <w:left w:type="dxa" w:w="120"/>
              <w:bottom w:type="dxa" w:w="60"/>
              <w:right w:type="dxa" w:w="120"/>
            </w:tcMar>
          </w:tcPr>
          <w:p>
            <w:r>
              <w:rPr>
                <w:rFonts w:ascii="Courier New" w:cs="Courier New" w:eastAsia="Courier New" w:hAnsi="Courier New"/>
                <w:color w:val="FFFFFF"/>
                <w:sz w:val="20"/>
                <w:szCs w:val="20"/>
              </w:rPr>
              <w:t xml:space="preserve">#223754</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Layer cards, elevated surfaces (CiDR blue navy)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--bg-hover</w:t>
            </w:r>
          </w:p>
        </w:tc>
        <w:tc>
          <w:tcPr>
            <w:tcW w:type="dxa" w:w="1800"/>
            <w:tcBorders>
              <w:top w:val="single" w:color="CCCCCC" w:sz="1"/>
              <w:left w:val="single" w:color="CCCCCC" w:sz="1"/>
              <w:bottom w:val="single" w:color="CCCCCC" w:sz="1"/>
              <w:right w:val="single" w:color="CCCCCC" w:sz="1"/>
            </w:tcBorders>
            <w:shd w:fill="2a4060" w:val="clear"/>
            <w:tcMar>
              <w:top w:type="dxa" w:w="60"/>
              <w:left w:type="dxa" w:w="120"/>
              <w:bottom w:type="dxa" w:w="60"/>
              <w:right w:type="dxa" w:w="120"/>
            </w:tcMar>
          </w:tcPr>
          <w:p>
            <w:r>
              <w:rPr>
                <w:rFonts w:ascii="Courier New" w:cs="Courier New" w:eastAsia="Courier New" w:hAnsi="Courier New"/>
                <w:color w:val="FFFFFF"/>
                <w:sz w:val="20"/>
                <w:szCs w:val="20"/>
              </w:rPr>
              <w:t xml:space="preserve">#2a4060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Hover states on interactive elements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--bg-active</w:t>
            </w:r>
          </w:p>
        </w:tc>
        <w:tc>
          <w:tcPr>
            <w:tcW w:type="dxa" w:w="1800"/>
            <w:tcBorders>
              <w:top w:val="single" w:color="CCCCCC" w:sz="1"/>
              <w:left w:val="single" w:color="CCCCCC" w:sz="1"/>
              <w:bottom w:val="single" w:color="CCCCCC" w:sz="1"/>
              <w:right w:val="single" w:color="CCCCCC" w:sz="1"/>
            </w:tcBorders>
            <w:shd w:fill="324a6a" w:val="clear"/>
            <w:tcMar>
              <w:top w:type="dxa" w:w="60"/>
              <w:left w:type="dxa" w:w="120"/>
              <w:bottom w:type="dxa" w:w="60"/>
              <w:right w:type="dxa" w:w="120"/>
            </w:tcMar>
          </w:tcPr>
          <w:p>
            <w:r>
              <w:rPr>
                <w:rFonts w:ascii="Courier New" w:cs="Courier New" w:eastAsia="Courier New" w:hAnsi="Courier New"/>
                <w:color w:val="FFFFFF"/>
                <w:sz w:val="20"/>
                <w:szCs w:val="20"/>
              </w:rPr>
              <w:t xml:space="preserve">#324a6a</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Active/pressed states</w:t>
            </w:r>
          </w:p>
        </w:tc>
      </w:tr>
    </w:tbl>
    <w:p>
      <w:pPr>
        <w:pStyle w:val="Heading1"/>
      </w:pPr>
      <w:r>
        <w:t xml:space="preserve">Typography</w:t>
      </w:r>
    </w:p>
    <w:p>
      <w:pPr>
        <w:spacing w:after="200"/>
      </w:pPr>
      <w:r>
        <w:t xml:space="preserve">The app uses the system font stack (SF Pro Text on macOS, Segoe UI on Windows) for UI elements to ensure native feel and crisp rendering at small sizes. The CiDR Lab brand font </w:t>
      </w:r>
      <w:r>
        <w:rPr>
          <w:b/>
          <w:bCs/>
        </w:rPr>
        <w:t xml:space="preserve">DM Sans</w:t>
      </w:r>
      <w:r>
        <w:t xml:space="preserve"> is reserved for the document title block in this style guide and any future splash/about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Context</w:t>
            </w:r>
          </w:p>
        </w:tc>
        <w:tc>
          <w:tcPr>
            <w:tcW w:type="dxa" w:w="180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Size</w:t>
            </w:r>
          </w:p>
        </w:tc>
        <w:tc>
          <w:tcPr>
            <w:tcW w:type="dxa" w:w="516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Font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Brand wordmark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14px / 600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System stack (-apple-system, BlinkMacSystemFont)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UI labels &amp; inputs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13px / 400–500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System stack</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Sidebar headings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12px / 600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System stack, uppercase tracking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Status bar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11px / 400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System stack, monospace for coordinates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Map popups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13px / 400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System stack</w:t>
            </w:r>
          </w:p>
        </w:tc>
      </w:tr>
    </w:tbl>
    <w:p>
      <w:pPr>
        <w:pStyle w:val="Heading1"/>
      </w:pPr>
      <w:r>
        <w:t xml:space="preserve">Iconography</w:t>
      </w:r>
    </w:p>
    <w:p>
      <w:pPr>
        <w:spacing w:after="200"/>
      </w:pPr>
      <w:r>
        <w:t xml:space="preserve">All icons are custom SVG monoline icons defined in </w:t>
      </w:r>
      <w:r>
        <w:rPr>
          <w:rFonts w:ascii="Courier New" w:cs="Courier New" w:eastAsia="Courier New" w:hAnsi="Courier New"/>
          <w:sz w:val="20"/>
          <w:szCs w:val="20"/>
        </w:rPr>
        <w:t xml:space="preserve">Icons.jsx</w:t>
      </w:r>
      <w:r>
        <w:t xml:space="preserve">. The icon library follows Lucide/Feather conventions: 24x24 viewBox, 1.5px stroke, round caps and joins, no fill. Icons accept </w:t>
      </w:r>
      <w:r>
        <w:rPr>
          <w:rFonts w:ascii="Courier New" w:cs="Courier New" w:eastAsia="Courier New" w:hAnsi="Courier New"/>
          <w:sz w:val="20"/>
          <w:szCs w:val="20"/>
        </w:rPr>
        <w:t xml:space="preserve">size</w:t>
      </w:r>
      <w:r>
        <w:t xml:space="preserve">, </w:t>
      </w:r>
      <w:r>
        <w:rPr>
          <w:rFonts w:ascii="Courier New" w:cs="Courier New" w:eastAsia="Courier New" w:hAnsi="Courier New"/>
          <w:sz w:val="20"/>
          <w:szCs w:val="20"/>
        </w:rPr>
        <w:t xml:space="preserve">color</w:t>
      </w:r>
      <w:r>
        <w:t xml:space="preserve">, and </w:t>
      </w:r>
      <w:r>
        <w:rPr>
          <w:rFonts w:ascii="Courier New" w:cs="Courier New" w:eastAsia="Courier New" w:hAnsi="Courier New"/>
          <w:sz w:val="20"/>
          <w:szCs w:val="20"/>
        </w:rPr>
        <w:t xml:space="preserve">className</w:t>
      </w:r>
      <w:r>
        <w:t xml:space="preserve"> props. The library contains 40+ icons covering navigation, location, layers, waypoints, actions, and tracking.</w:t>
      </w:r>
    </w:p>
    <w:p>
      <w:pPr>
        <w:pStyle w:val="Heading2"/>
      </w:pPr>
      <w:r>
        <w:t xml:space="preserve">Waypoint Pin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Hex</w:t>
            </w:r>
          </w:p>
        </w:tc>
        <w:tc>
          <w:tcPr>
            <w:tcW w:type="dxa" w:w="240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Icon</w:t>
            </w:r>
          </w:p>
        </w:tc>
        <w:tc>
          <w:tcPr>
            <w:tcW w:type="dxa" w:w="316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Generic</w:t>
            </w:r>
          </w:p>
        </w:tc>
        <w:tc>
          <w:tcPr>
            <w:tcW w:type="dxa" w:w="1800"/>
            <w:tcBorders>
              <w:top w:val="single" w:color="CCCCCC" w:sz="1"/>
              <w:left w:val="single" w:color="CCCCCC" w:sz="1"/>
              <w:bottom w:val="single" w:color="CCCCCC" w:sz="1"/>
              <w:right w:val="single" w:color="CCCCCC" w:sz="1"/>
            </w:tcBorders>
            <w:shd w:fill="F9322B" w:val="clear"/>
            <w:tcMar>
              <w:top w:type="dxa" w:w="60"/>
              <w:left w:type="dxa" w:w="120"/>
              <w:bottom w:type="dxa" w:w="60"/>
              <w:right w:type="dxa" w:w="120"/>
            </w:tcMar>
          </w:tcPr>
          <w:p>
            <w:r>
              <w:rPr>
                <w:rFonts w:ascii="Courier New" w:cs="Courier New" w:eastAsia="Courier New" w:hAnsi="Courier New"/>
                <w:color w:val="FFFFFF"/>
                <w:sz w:val="20"/>
                <w:szCs w:val="20"/>
              </w:rPr>
              <w:t xml:space="preserve">#F9322B</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MapPin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CiDR red — default pin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Camp</w:t>
            </w:r>
          </w:p>
        </w:tc>
        <w:tc>
          <w:tcPr>
            <w:tcW w:type="dxa" w:w="1800"/>
            <w:tcBorders>
              <w:top w:val="single" w:color="CCCCCC" w:sz="1"/>
              <w:left w:val="single" w:color="CCCCCC" w:sz="1"/>
              <w:bottom w:val="single" w:color="CCCCCC" w:sz="1"/>
              <w:right w:val="single" w:color="CCCCCC" w:sz="1"/>
            </w:tcBorders>
            <w:shd w:fill="22c55e" w:val="clear"/>
            <w:tcMar>
              <w:top w:type="dxa" w:w="60"/>
              <w:left w:type="dxa" w:w="120"/>
              <w:bottom w:type="dxa" w:w="60"/>
              <w:right w:type="dxa" w:w="120"/>
            </w:tcMar>
          </w:tcPr>
          <w:p>
            <w:r>
              <w:rPr>
                <w:rFonts w:ascii="Courier New" w:cs="Courier New" w:eastAsia="Courier New" w:hAnsi="Courier New"/>
                <w:color w:val="FFFFFF"/>
                <w:sz w:val="20"/>
                <w:szCs w:val="20"/>
              </w:rPr>
              <w:t xml:space="preserve">#22c55e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Tent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Green — campsite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Water</w:t>
            </w:r>
          </w:p>
        </w:tc>
        <w:tc>
          <w:tcPr>
            <w:tcW w:type="dxa" w:w="1800"/>
            <w:tcBorders>
              <w:top w:val="single" w:color="CCCCCC" w:sz="1"/>
              <w:left w:val="single" w:color="CCCCCC" w:sz="1"/>
              <w:bottom w:val="single" w:color="CCCCCC" w:sz="1"/>
              <w:right w:val="single" w:color="CCCCCC" w:sz="1"/>
            </w:tcBorders>
            <w:shd w:fill="38bdf8" w:val="clear"/>
            <w:tcMar>
              <w:top w:type="dxa" w:w="60"/>
              <w:left w:type="dxa" w:w="120"/>
              <w:bottom w:type="dxa" w:w="60"/>
              <w:right w:type="dxa" w:w="120"/>
            </w:tcMar>
          </w:tcPr>
          <w:p>
            <w:r>
              <w:rPr>
                <w:rFonts w:ascii="Courier New" w:cs="Courier New" w:eastAsia="Courier New" w:hAnsi="Courier New"/>
                <w:color w:val="FFFFFF"/>
                <w:sz w:val="20"/>
                <w:szCs w:val="20"/>
              </w:rPr>
              <w:t xml:space="preserve">#38bdf8</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Droplet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Sky blue — water source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Hazard</w:t>
            </w:r>
          </w:p>
        </w:tc>
        <w:tc>
          <w:tcPr>
            <w:tcW w:type="dxa" w:w="1800"/>
            <w:tcBorders>
              <w:top w:val="single" w:color="CCCCCC" w:sz="1"/>
              <w:left w:val="single" w:color="CCCCCC" w:sz="1"/>
              <w:bottom w:val="single" w:color="CCCCCC" w:sz="1"/>
              <w:right w:val="single" w:color="CCCCCC" w:sz="1"/>
            </w:tcBorders>
            <w:shd w:fill="fbbf24" w:val="clear"/>
            <w:tcMar>
              <w:top w:type="dxa" w:w="60"/>
              <w:left w:type="dxa" w:w="120"/>
              <w:bottom w:type="dxa" w:w="60"/>
              <w:right w:type="dxa" w:w="120"/>
            </w:tcMar>
          </w:tcPr>
          <w:p>
            <w:r>
              <w:rPr>
                <w:rFonts w:ascii="Courier New" w:cs="Courier New" w:eastAsia="Courier New" w:hAnsi="Courier New"/>
                <w:color w:val="19222C"/>
                <w:sz w:val="20"/>
                <w:szCs w:val="20"/>
              </w:rPr>
              <w:t xml:space="preserve">#fbbf24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AlertTriangle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Amber warning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Trailhead</w:t>
            </w:r>
          </w:p>
        </w:tc>
        <w:tc>
          <w:tcPr>
            <w:tcW w:type="dxa" w:w="1800"/>
            <w:tcBorders>
              <w:top w:val="single" w:color="CCCCCC" w:sz="1"/>
              <w:left w:val="single" w:color="CCCCCC" w:sz="1"/>
              <w:bottom w:val="single" w:color="CCCCCC" w:sz="1"/>
              <w:right w:val="single" w:color="CCCCCC" w:sz="1"/>
            </w:tcBorders>
            <w:shd w:fill="f59e0b" w:val="clear"/>
            <w:tcMar>
              <w:top w:type="dxa" w:w="60"/>
              <w:left w:type="dxa" w:w="120"/>
              <w:bottom w:type="dxa" w:w="60"/>
              <w:right w:type="dxa" w:w="120"/>
            </w:tcMar>
          </w:tcPr>
          <w:p>
            <w:r>
              <w:rPr>
                <w:rFonts w:ascii="Courier New" w:cs="Courier New" w:eastAsia="Courier New" w:hAnsi="Courier New"/>
                <w:color w:val="19222C"/>
                <w:sz w:val="20"/>
                <w:szCs w:val="20"/>
              </w:rPr>
              <w:t xml:space="preserve">#f59e0b</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Footprints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Warm amber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Viewpoint</w:t>
            </w:r>
          </w:p>
        </w:tc>
        <w:tc>
          <w:tcPr>
            <w:tcW w:type="dxa" w:w="1800"/>
            <w:tcBorders>
              <w:top w:val="single" w:color="CCCCCC" w:sz="1"/>
              <w:left w:val="single" w:color="CCCCCC" w:sz="1"/>
              <w:bottom w:val="single" w:color="CCCCCC" w:sz="1"/>
              <w:right w:val="single" w:color="CCCCCC" w:sz="1"/>
            </w:tcBorders>
            <w:shd w:fill="a78bfa" w:val="clear"/>
            <w:tcMar>
              <w:top w:type="dxa" w:w="60"/>
              <w:left w:type="dxa" w:w="120"/>
              <w:bottom w:type="dxa" w:w="60"/>
              <w:right w:type="dxa" w:w="120"/>
            </w:tcMar>
          </w:tcPr>
          <w:p>
            <w:r>
              <w:rPr>
                <w:rFonts w:ascii="Courier New" w:cs="Courier New" w:eastAsia="Courier New" w:hAnsi="Courier New"/>
                <w:color w:val="FFFFFF"/>
                <w:sz w:val="20"/>
                <w:szCs w:val="20"/>
              </w:rPr>
              <w:t xml:space="preserve">#a78bfa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Camera</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Soft purple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Fuel</w:t>
            </w:r>
          </w:p>
        </w:tc>
        <w:tc>
          <w:tcPr>
            <w:tcW w:type="dxa" w:w="1800"/>
            <w:tcBorders>
              <w:top w:val="single" w:color="CCCCCC" w:sz="1"/>
              <w:left w:val="single" w:color="CCCCCC" w:sz="1"/>
              <w:bottom w:val="single" w:color="CCCCCC" w:sz="1"/>
              <w:right w:val="single" w:color="CCCCCC" w:sz="1"/>
            </w:tcBorders>
            <w:shd w:fill="fb923c" w:val="clear"/>
            <w:tcMar>
              <w:top w:type="dxa" w:w="60"/>
              <w:left w:type="dxa" w:w="120"/>
              <w:bottom w:type="dxa" w:w="60"/>
              <w:right w:type="dxa" w:w="120"/>
            </w:tcMar>
          </w:tcPr>
          <w:p>
            <w:r>
              <w:rPr>
                <w:rFonts w:ascii="Courier New" w:cs="Courier New" w:eastAsia="Courier New" w:hAnsi="Courier New"/>
                <w:color w:val="19222C"/>
                <w:sz w:val="20"/>
                <w:szCs w:val="20"/>
              </w:rPr>
              <w:t xml:space="preserve">#fb923c</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Fuel</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Orange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Parking</w:t>
            </w:r>
          </w:p>
        </w:tc>
        <w:tc>
          <w:tcPr>
            <w:tcW w:type="dxa" w:w="1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Courier New" w:cs="Courier New" w:eastAsia="Courier New" w:hAnsi="Courier New"/>
                <w:color w:val="19222C"/>
                <w:sz w:val="20"/>
                <w:szCs w:val="20"/>
              </w:rPr>
              <w:t xml:space="preserve">#e8eef4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ParkingCircle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CiDR cool blue tint</w:t>
            </w:r>
          </w:p>
        </w:tc>
      </w:tr>
    </w:tbl>
    <w:p>
      <w:pPr>
        <w:pStyle w:val="Heading1"/>
      </w:pPr>
      <w:r>
        <w:t xml:space="preserve">UI Patterns</w:t>
      </w:r>
    </w:p>
    <w:p>
      <w:pPr>
        <w:pStyle w:val="Heading2"/>
      </w:pPr>
      <w:r>
        <w:t xml:space="preserve">Glass Effect</w:t>
      </w:r>
    </w:p>
    <w:p>
      <w:pPr>
        <w:spacing w:after="200"/>
      </w:pPr>
      <w:r>
        <w:t xml:space="preserve">Map controls, popups, and overlays use a translucent glass effect: </w:t>
      </w:r>
      <w:r>
        <w:rPr>
          <w:rFonts w:ascii="Courier New" w:cs="Courier New" w:eastAsia="Courier New" w:hAnsi="Courier New"/>
          <w:sz w:val="20"/>
          <w:szCs w:val="20"/>
        </w:rPr>
        <w:t xml:space="preserve">rgba(25, 34, 44, 0.90)</w:t>
      </w:r>
      <w:r>
        <w:t xml:space="preserve"> background with </w:t>
      </w:r>
      <w:r>
        <w:rPr>
          <w:rFonts w:ascii="Courier New" w:cs="Courier New" w:eastAsia="Courier New" w:hAnsi="Courier New"/>
          <w:sz w:val="20"/>
          <w:szCs w:val="20"/>
        </w:rPr>
        <w:t xml:space="preserve">backdrop-filter: blur(16px)</w:t>
      </w:r>
      <w:r>
        <w:t xml:space="preserve">. This keeps map content partially visible while maintaining legibility of UI controls.</w:t>
      </w:r>
    </w:p>
    <w:p>
      <w:pPr>
        <w:pStyle w:val="Heading2"/>
      </w:pPr>
      <w:r>
        <w:t xml:space="preserve">Border Radii</w:t>
      </w:r>
    </w:p>
    <w:p>
      <w:pPr>
        <w:spacing w:after="200"/>
      </w:pPr>
      <w:r>
        <w:t xml:space="preserve">Three radius tokens are used consistently: </w:t>
      </w:r>
      <w:r>
        <w:rPr>
          <w:rFonts w:ascii="Courier New" w:cs="Courier New" w:eastAsia="Courier New" w:hAnsi="Courier New"/>
          <w:sz w:val="20"/>
          <w:szCs w:val="20"/>
        </w:rPr>
        <w:t xml:space="preserve">--radius: 10px</w:t>
      </w:r>
      <w:r>
        <w:t xml:space="preserve"> for cards and modals, </w:t>
      </w:r>
      <w:r>
        <w:rPr>
          <w:rFonts w:ascii="Courier New" w:cs="Courier New" w:eastAsia="Courier New" w:hAnsi="Courier New"/>
          <w:sz w:val="20"/>
          <w:szCs w:val="20"/>
        </w:rPr>
        <w:t xml:space="preserve">--radius-sm: 6px</w:t>
      </w:r>
      <w:r>
        <w:t xml:space="preserve"> for buttons and inputs, and </w:t>
      </w:r>
      <w:r>
        <w:rPr>
          <w:rFonts w:ascii="Courier New" w:cs="Courier New" w:eastAsia="Courier New" w:hAnsi="Courier New"/>
          <w:sz w:val="20"/>
          <w:szCs w:val="20"/>
        </w:rPr>
        <w:t xml:space="preserve">--radius-xs: 4px</w:t>
      </w:r>
      <w:r>
        <w:t xml:space="preserve"> for small toggles and chips. Recording pills use a full </w:t>
      </w:r>
      <w:r>
        <w:rPr>
          <w:rFonts w:ascii="Courier New" w:cs="Courier New" w:eastAsia="Courier New" w:hAnsi="Courier New"/>
          <w:sz w:val="20"/>
          <w:szCs w:val="20"/>
        </w:rPr>
        <w:t xml:space="preserve">100px</w:t>
      </w:r>
      <w:r>
        <w:t xml:space="preserve"> radius.</w:t>
      </w:r>
    </w:p>
    <w:p>
      <w:pPr>
        <w:pStyle w:val="Heading2"/>
      </w:pPr>
      <w:r>
        <w:t xml:space="preserve">Button System</w:t>
      </w:r>
    </w:p>
    <w:p>
      <w:pPr>
        <w:spacing w:after="200"/>
      </w:pPr>
      <w:r>
        <w:t xml:space="preserve">Four button variants are defined: </w:t>
      </w:r>
      <w:r>
        <w:rPr>
          <w:rFonts w:ascii="Courier New" w:cs="Courier New" w:eastAsia="Courier New" w:hAnsi="Courier New"/>
          <w:sz w:val="20"/>
          <w:szCs w:val="20"/>
        </w:rPr>
        <w:t xml:space="preserve">btn-primary</w:t>
      </w:r>
      <w:r>
        <w:t xml:space="preserve"> (CiDR red background, white text), </w:t>
      </w:r>
      <w:r>
        <w:rPr>
          <w:rFonts w:ascii="Courier New" w:cs="Courier New" w:eastAsia="Courier New" w:hAnsi="Courier New"/>
          <w:sz w:val="20"/>
          <w:szCs w:val="20"/>
        </w:rPr>
        <w:t xml:space="preserve">btn-secondary</w:t>
      </w:r>
      <w:r>
        <w:t xml:space="preserve"> (elevated navy background, muted text, border), </w:t>
      </w:r>
      <w:r>
        <w:rPr>
          <w:rFonts w:ascii="Courier New" w:cs="Courier New" w:eastAsia="Courier New" w:hAnsi="Courier New"/>
          <w:sz w:val="20"/>
          <w:szCs w:val="20"/>
        </w:rPr>
        <w:t xml:space="preserve">btn-ghost</w:t>
      </w:r>
      <w:r>
        <w:t xml:space="preserve"> (transparent, icon-only actions), and </w:t>
      </w:r>
      <w:r>
        <w:rPr>
          <w:rFonts w:ascii="Courier New" w:cs="Courier New" w:eastAsia="Courier New" w:hAnsi="Courier New"/>
          <w:sz w:val="20"/>
          <w:szCs w:val="20"/>
        </w:rPr>
        <w:t xml:space="preserve">btn-danger</w:t>
      </w:r>
      <w:r>
        <w:t xml:space="preserve"> (red-tinted background for destructive actions). The record button uses </w:t>
      </w:r>
      <w:r>
        <w:rPr>
          <w:rFonts w:ascii="Courier New" w:cs="Courier New" w:eastAsia="Courier New" w:hAnsi="Courier New"/>
          <w:sz w:val="20"/>
          <w:szCs w:val="20"/>
        </w:rPr>
        <w:t xml:space="preserve">--accent</w:t>
      </w:r>
      <w:r>
        <w:t xml:space="preserve"> (brand red) for both its border and the filled circle icon.</w:t>
      </w:r>
    </w:p>
    <w:p>
      <w:pPr>
        <w:pStyle w:val="Heading1"/>
      </w:pPr>
      <w:r>
        <w:t xml:space="preserve">Map Layers</w:t>
      </w:r>
    </w:p>
    <w:p>
      <w:pPr>
        <w:spacing w:after="200"/>
      </w:pPr>
      <w:r>
        <w:t xml:space="preserve">Seven base layers and four overlays are defined in </w:t>
      </w:r>
      <w:r>
        <w:rPr>
          <w:rFonts w:ascii="Courier New" w:cs="Courier New" w:eastAsia="Courier New" w:hAnsi="Courier New"/>
          <w:sz w:val="20"/>
          <w:szCs w:val="20"/>
        </w:rPr>
        <w:t xml:space="preserve">shared/layers.js</w:t>
      </w:r>
      <w:r>
        <w:t xml:space="preserve">. The default base layer is USGS Topo (modern style). The default active overlays are roads and USFS trails. Overlays use zoom-interpolated opacity expressions for progressive disclosure at different zoom levels.</w:t>
      </w:r>
    </w:p>
    <w:p>
      <w:pPr>
        <w:pStyle w:val="Heading1"/>
      </w:pPr>
      <w:r>
        <w:t xml:space="preserve">File Reference</w:t>
      </w:r>
    </w:p>
    <w:p>
      <w:pPr>
        <w:spacing w:after="200"/>
      </w:pPr>
      <w:r>
        <w:t xml:space="preserve">Key files controlling visual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19222C" w:val="clear"/>
            <w:tcMar>
              <w:top w:type="dxa" w:w="80"/>
              <w:left w:type="dxa" w:w="120"/>
              <w:bottom w:type="dxa" w:w="80"/>
              <w:right w:type="dxa" w:w="120"/>
            </w:tcMar>
          </w:tcPr>
          <w:p>
            <w:r>
              <w:rPr>
                <w:rFonts w:ascii="DM Sans" w:cs="DM Sans" w:eastAsia="DM Sans" w:hAnsi="DM Sans"/>
                <w:b/>
                <w:bCs/>
                <w:color w:val="FFFFFF"/>
                <w:sz w:val="20"/>
                <w:szCs w:val="20"/>
              </w:rPr>
              <w:t xml:space="preserve">Controls</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styles/global.css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CSS custom properties (all colors, radii, shadows)</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styles/app.css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Layout, MapLibre overrides, button system, modals</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components/Icons.jsx</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SVG icon library, waypoint color + icon maps</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components/Toolbar.css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Toolbar, record/stop button, brand wordmark</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components/Sidebar.css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Search, layer picker, waypoint list, toggles</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components/Map.jsx</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Marker SVG rendering, track colors, bbox draw</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shared/layers.js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Tile URLs, overlay opacity curves, default center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2" w:space="4"/>
      </w:pBdr>
      <w:tabs>
        <w:tab w:val="right" w:pos="9026"/>
      </w:tabs>
    </w:pPr>
    <w:r>
      <w:rPr>
        <w:rFonts w:ascii="DM Sans" w:cs="DM Sans" w:eastAsia="DM Sans" w:hAnsi="DM Sans"/>
        <w:color w:val="223754"/>
        <w:sz w:val="16"/>
        <w:szCs w:val="16"/>
      </w:rPr>
      <w:t xml:space="preserve">CiDR Lab</w:t>
    </w:r>
    <w:r>
      <w:rPr>
        <w:rFonts w:ascii="DM Sans" w:cs="DM Sans" w:eastAsia="DM Sans" w:hAnsi="DM Sans"/>
        <w:color w:val="999999"/>
        <w:sz w:val="16"/>
        <w:szCs w:val="16"/>
      </w:rPr>
      <w:t xml:space="preserve">	Page </w:t>
    </w:r>
    <w:r>
      <w:rPr>
        <w:rFonts w:ascii="DM Sans" w:cs="DM Sans" w:eastAsia="DM Sans" w:hAnsi="DM San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322B" w:sz="4" w:space="4"/>
      </w:pBdr>
      <w:tabs>
        <w:tab w:val="right" w:pos="9026"/>
      </w:tabs>
      <w:spacing w:after="120"/>
    </w:pPr>
    <w:r>
      <w:rPr>
        <w:rFonts w:ascii="DM Sans" w:cs="DM Sans" w:eastAsia="DM Sans" w:hAnsi="DM Sans"/>
        <w:b/>
        <w:bCs/>
        <w:color w:val="19222C"/>
        <w:sz w:val="18"/>
        <w:szCs w:val="18"/>
      </w:rPr>
      <w:t xml:space="preserve">Boondock Map</w:t>
    </w:r>
    <w:r>
      <w:rPr>
        <w:rFonts w:ascii="DM Sans" w:cs="DM Sans" w:eastAsia="DM Sans" w:hAnsi="DM Sans"/>
        <w:color w:val="223754"/>
        <w:sz w:val="18"/>
        <w:szCs w:val="18"/>
      </w:rPr>
      <w:t xml:space="preserve">	Brand &amp; Style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922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DM Sans" w:cs="DM Sans" w:eastAsia="DM Sans" w:hAnsi="DM Sans"/>
      <w:b/>
      <w:bCs/>
      <w:color w:val="19222C"/>
      <w:sz w:val="36"/>
      <w:szCs w:val="36"/>
    </w:rPr>
  </w:style>
  <w:style w:type="paragraph" w:styleId="Heading2">
    <w:name w:val="Heading 2"/>
    <w:basedOn w:val="Normal"/>
    <w:next w:val="Normal"/>
    <w:qFormat/>
    <w:pPr>
      <w:spacing w:after="160" w:before="280"/>
      <w:outlineLvl w:val="1"/>
    </w:pPr>
    <w:rPr>
      <w:rFonts w:ascii="DM Sans" w:cs="DM Sans" w:eastAsia="DM Sans" w:hAnsi="DM Sans"/>
      <w:b/>
      <w:bCs/>
      <w:color w:val="223754"/>
      <w:sz w:val="28"/>
      <w:szCs w:val="28"/>
    </w:rPr>
  </w:style>
  <w:style w:type="paragraph" w:styleId="Heading3">
    <w:name w:val="Heading 3"/>
    <w:basedOn w:val="Normal"/>
    <w:next w:val="Normal"/>
    <w:qFormat/>
    <w:pPr>
      <w:spacing w:after="120" w:before="200"/>
      <w:outlineLvl w:val="2"/>
    </w:pPr>
    <w:rPr>
      <w:rFonts w:ascii="DM Sans" w:cs="DM Sans" w:eastAsia="DM Sans" w:hAnsi="DM Sans"/>
      <w:b/>
      <w:bCs/>
      <w:color w:val="2237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f5044b23e832e68820202d969ec609fbb131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2026-04-07T18:51:10.609Z</dcterms:created>
  <dcterms:modified xsi:type="dcterms:W3CDTF">2026-04-07T18:51:10.609Z</dcterms:modified>
</cp:coreProperties>
</file>

<file path=docProps/custom.xml><?xml version="1.0" encoding="utf-8"?>
<Properties xmlns="http://schemas.openxmlformats.org/officeDocument/2006/custom-properties" xmlns:vt="http://schemas.openxmlformats.org/officeDocument/2006/docPropsVTypes"/>
</file>