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Migração de Modelo de Embedding</w:t>
      </w:r>
    </w:p>
    <w:p>
      <w:r>
        <w:t>Trocar o modelo de embedding em produção é arriscado se feito sem um processo repetível: reindexar tudo do zero é caro, e uma migração mal feita pode derrubar o Recall@5 silenciosamente.</w:t>
      </w:r>
    </w:p>
    <w:p>
      <w:pPr>
        <w:pStyle w:val="Heading1"/>
      </w:pPr>
      <w:r>
        <w:t>Dual-write em vez de substituição</w:t>
      </w:r>
    </w:p>
    <w:p>
      <w:r>
        <w:t>A migração cria uma segunda collection no Qdrant, em um namespace novo, para o modelo de embedding candidato. O corpus é reprocessado com o modelo novo e gravado em paralelo, sem apagar a collection antiga — as duas coexistem durante o período de avaliação.</w:t>
      </w:r>
    </w:p>
    <w:p>
      <w:pPr>
        <w:pStyle w:val="Heading1"/>
      </w:pPr>
      <w:r>
        <w:t>Avaliação lado a lado</w:t>
      </w:r>
    </w:p>
    <w:p>
      <w:r>
        <w:t>O golden dataset roda contra as duas collections, e o Recall@5 e a Precision@5 de cada uma são comparados diretamente. Só depois dessa comparação é que a decisão de trocar o modelo padrão é tomada.</w:t>
      </w:r>
    </w:p>
    <w:p>
      <w:pPr>
        <w:pStyle w:val="Heading1"/>
      </w:pPr>
      <w:r>
        <w:t>Cutover seguro</w:t>
      </w:r>
    </w:p>
    <w:p>
      <w:r>
        <w:t>Se o modelo novo for igual ou melhor, o EMBEDDING_MODEL padrão no config é trocado, e a collection antiga é mantida por um período antes de ser apagada — garantindo um caminho de rollback caso surjam problemas não capturados pelo golden dataset em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Migração de Modelo de Embedding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