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Processamento de Imagens e Documentos Multimodais</w:t>
      </w:r>
    </w:p>
    <w:p>
      <w:pPr>
        <w:pStyle w:val="Heading1"/>
      </w:pPr>
      <w:r>
        <w:t>1. Visao Geral da Extracao de Imagens</w:t>
      </w:r>
    </w:p>
    <w:p>
      <w:r>
        <w:t>Arquivos em formato Word (DOCX) frequentemente trazem diagramas de arquitetura e fluxogramas incorporados diretamente no corpo do texto. O pipeline do Passo 19 extrai essas midias e executa o reconhecimento textual e conceitual.</w:t>
      </w:r>
    </w:p>
    <w:p>
      <w:pPr>
        <w:pStyle w:val="Heading1"/>
      </w:pPr>
      <w:r>
        <w:t>2. Detalhamento do Pipeline de Visao</w:t>
      </w:r>
    </w:p>
    <w:p>
      <w:r>
        <w:t>O diagrama a seguir sintetiza os componentes responsaveis pelo processamento de imagens dentro da plataforma:</w:t>
      </w:r>
    </w:p>
    <w:p>
      <w:r>
        <w:drawing>
          <wp:inline xmlns:a="http://schemas.openxmlformats.org/drawingml/2006/main" xmlns:pic="http://schemas.openxmlformats.org/drawingml/2006/picture">
            <wp:extent cx="548640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1: Pipeline de Visao e OCR para Documentos Corporativos.</w:t>
      </w:r>
    </w:p>
    <w:p>
      <w:pPr>
        <w:pStyle w:val="Heading2"/>
      </w:pPr>
      <w:r>
        <w:t>3. Principais Diretrizes</w:t>
      </w:r>
    </w:p>
    <w:p>
      <w:r>
        <w:t>• O Tesseract 5.4 e executado com os idiomas portugues e ingles.</w:t>
      </w:r>
    </w:p>
    <w:p>
      <w:r>
        <w:t>• Claude 3.5 Sonnet gera sumarios com analise semantica visual.</w:t>
      </w:r>
    </w:p>
    <w:p>
      <w:r>
        <w:t>• Os binarios de imagem sao preservados no MinIO em rag-documents.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