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w:t>
      </w:r>
      <w:r>
        <w:t xml:space="preserve"> </w:t>
      </w:r>
      <w:r>
        <w:t xml:space="preserve">699</w:t>
      </w:r>
      <w:r>
        <w:t xml:space="preserve"> </w:t>
      </w:r>
      <w:r>
        <w:t xml:space="preserve">—</w:t>
      </w:r>
      <w:r>
        <w:t xml:space="preserve"> </w:t>
      </w:r>
      <w:r>
        <w:t xml:space="preserve">Hard</w:t>
      </w:r>
      <w:r>
        <w:t xml:space="preserve"> </w:t>
      </w:r>
      <w:r>
        <w:t xml:space="preserve">Stop</w:t>
      </w:r>
      <w:r>
        <w:t xml:space="preserve"> </w:t>
      </w:r>
      <w:r>
        <w:t xml:space="preserve">2:</w:t>
      </w:r>
      <w:r>
        <w:t xml:space="preserve"> </w:t>
      </w:r>
      <w:r>
        <w:t xml:space="preserve">Design</w:t>
      </w:r>
      <w:r>
        <w:t xml:space="preserve"> </w:t>
      </w:r>
      <w:r>
        <w:t xml:space="preserve">Review</w:t>
      </w:r>
      <w:r>
        <w:t xml:space="preserve"> </w:t>
      </w:r>
      <w:r>
        <w:t xml:space="preserve">Package</w:t>
      </w:r>
    </w:p>
    <w:p>
      <w:pPr>
        <w:pStyle w:val="Subtitle"/>
      </w:pPr>
      <w:r>
        <w:t xml:space="preserve">Placement</w:t>
      </w:r>
      <w:r>
        <w:t xml:space="preserve"> </w:t>
      </w:r>
      <w:r>
        <w:t xml:space="preserve">as</w:t>
      </w:r>
      <w:r>
        <w:t xml:space="preserve"> </w:t>
      </w:r>
      <w:r>
        <w:t xml:space="preserve">Schema:</w:t>
      </w:r>
      <w:r>
        <w:t xml:space="preserve"> </w:t>
      </w:r>
      <w:r>
        <w:t xml:space="preserve">A</w:t>
      </w:r>
      <w:r>
        <w:t xml:space="preserve"> </w:t>
      </w:r>
      <w:r>
        <w:t xml:space="preserve">GraphQL</w:t>
      </w:r>
      <w:r>
        <w:t xml:space="preserve"> </w:t>
      </w:r>
      <w:r>
        <w:t xml:space="preserve">Federation</w:t>
      </w:r>
      <w:r>
        <w:t xml:space="preserve"> </w:t>
      </w:r>
      <w:r>
        <w:t xml:space="preserve">Layer</w:t>
      </w:r>
      <w:r>
        <w:t xml:space="preserve"> </w:t>
      </w:r>
      <w:r>
        <w:t xml:space="preserve">with</w:t>
      </w:r>
      <w:r>
        <w:t xml:space="preserve"> </w:t>
      </w:r>
      <w:r>
        <w:t xml:space="preserve">Backend</w:t>
      </w:r>
      <w:r>
        <w:t xml:space="preserve"> </w:t>
      </w:r>
      <w:r>
        <w:t xml:space="preserve">Placement</w:t>
      </w:r>
      <w:r>
        <w:t xml:space="preserve"> </w:t>
      </w:r>
      <w:r>
        <w:t xml:space="preserve">Declared</w:t>
      </w:r>
      <w:r>
        <w:t xml:space="preserve"> </w:t>
      </w:r>
      <w:r>
        <w:t xml:space="preserve">in</w:t>
      </w:r>
      <w:r>
        <w:t xml:space="preserve"> </w:t>
      </w:r>
      <w:r>
        <w:t xml:space="preserve">the</w:t>
      </w:r>
      <w:r>
        <w:t xml:space="preserve"> </w:t>
      </w:r>
      <w:r>
        <w:t xml:space="preserve">Type</w:t>
      </w:r>
      <w:r>
        <w:t xml:space="preserve"> </w:t>
      </w:r>
      <w:r>
        <w:t xml:space="preserve">System,</w:t>
      </w:r>
      <w:r>
        <w:t xml:space="preserve"> </w:t>
      </w:r>
      <w:r>
        <w:t xml:space="preserve">and</w:t>
      </w:r>
      <w:r>
        <w:t xml:space="preserve"> </w:t>
      </w:r>
      <w:r>
        <w:t xml:space="preserve">the</w:t>
      </w:r>
      <w:r>
        <w:t xml:space="preserve"> </w:t>
      </w:r>
      <w:r>
        <w:t xml:space="preserve">Workload</w:t>
      </w:r>
      <w:r>
        <w:t xml:space="preserve"> </w:t>
      </w:r>
      <w:r>
        <w:t xml:space="preserve">Point</w:t>
      </w:r>
      <w:r>
        <w:t xml:space="preserve"> </w:t>
      </w:r>
      <w:r>
        <w:t xml:space="preserve">Where</w:t>
      </w:r>
      <w:r>
        <w:t xml:space="preserve"> </w:t>
      </w:r>
      <w:r>
        <w:t xml:space="preserve">Federation</w:t>
      </w:r>
      <w:r>
        <w:t xml:space="preserve"> </w:t>
      </w:r>
      <w:r>
        <w:t xml:space="preserve">Stops</w:t>
      </w:r>
      <w:r>
        <w:t xml:space="preserve"> </w:t>
      </w:r>
      <w:r>
        <w:t xml:space="preserve">Paying</w:t>
      </w:r>
    </w:p>
    <w:p>
      <w:pPr>
        <w:pStyle w:val="Author"/>
      </w:pPr>
      <w:r>
        <w:t xml:space="preserve">Jai</w:t>
      </w:r>
      <w:r>
        <w:t xml:space="preserve"> </w:t>
      </w:r>
      <w:r>
        <w:t xml:space="preserve">Behl</w:t>
      </w:r>
      <w:r>
        <w:t xml:space="preserve"> </w:t>
      </w:r>
      <w:r>
        <w:t xml:space="preserve">·</w:t>
      </w:r>
      <w:r>
        <w:t xml:space="preserve"> </w:t>
      </w:r>
      <w:r>
        <w:t xml:space="preserve">Supervisor:</w:t>
      </w:r>
      <w:r>
        <w:t xml:space="preserve"> </w:t>
      </w:r>
      <w:r>
        <w:t xml:space="preserve">Majid</w:t>
      </w:r>
      <w:r>
        <w:t xml:space="preserve"> </w:t>
      </w:r>
      <w:r>
        <w:t xml:space="preserve">Shaalan,</w:t>
      </w:r>
      <w:r>
        <w:t xml:space="preserve"> </w:t>
      </w:r>
      <w:r>
        <w:t xml:space="preserve">Ph.D.</w:t>
      </w:r>
    </w:p>
    <w:p>
      <w:pPr>
        <w:pStyle w:val="Date"/>
      </w:pPr>
      <w:r>
        <w:t xml:space="preserve">September</w:t>
      </w:r>
      <w:r>
        <w:t xml:space="preserve"> </w:t>
      </w:r>
      <w:r>
        <w:t xml:space="preserve">27,</w:t>
      </w:r>
      <w:r>
        <w:t xml:space="preserve"> </w:t>
      </w:r>
      <w:r>
        <w:t xml:space="preserve">2026</w:t>
      </w:r>
      <w:r>
        <w:t xml:space="preserve"> </w:t>
      </w:r>
      <w:r>
        <w:t xml:space="preserve">·</w:t>
      </w:r>
      <w:r>
        <w:t xml:space="preserve"> </w:t>
      </w:r>
      <w:r>
        <w:t xml:space="preserve">Version</w:t>
      </w:r>
      <w:r>
        <w:t xml:space="preserve"> </w:t>
      </w:r>
      <w:r>
        <w:t xml:space="preserve">0.2</w:t>
      </w:r>
    </w:p>
    <w:p>
      <w:pPr>
        <w:pStyle w:val="FirstParagraph"/>
      </w:pPr>
      <w:r>
        <w:rPr>
          <w:bCs/>
          <w:b/>
        </w:rPr>
        <w:t xml:space="preserve">Contents</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432"/>
        <w:gridCol w:w="3320"/>
        <w:gridCol w:w="1432"/>
        <w:gridCol w:w="3606"/>
      </w:tblGrid>
      <w:tr>
        <w:trPr>
          <w:tblHeader w:val="true"/>
          <w:tblHeader w:val="true"/>
        </w:trPr>
        <w:tc>
          <w:tcPr>
            <w:tcW w:w="1432" w:type="dxa"/>
            <w:shd w:val="clear" w:color="auto" w:fill="DCE6F2"/>
          </w:tcPr>
          <w:p>
            <w:pPr>
              <w:pStyle w:val="Compact"/>
              <w:spacing w:after="20" w:before="20"/>
              <w:jc w:val="left"/>
            </w:pPr>
            <w:r>
              <w:rPr>
                <w:b/>
                <w:sz w:val="18"/>
              </w:rPr>
              <w:t xml:space="preserve">§</w:t>
            </w:r>
          </w:p>
        </w:tc>
        <w:tc>
          <w:tcPr>
            <w:tcW w:w="3320" w:type="dxa"/>
            <w:shd w:val="clear" w:color="auto" w:fill="DCE6F2"/>
          </w:tcPr>
          <w:p>
            <w:pPr>
              <w:pStyle w:val="Compact"/>
              <w:spacing w:after="20" w:before="20"/>
              <w:jc w:val="left"/>
            </w:pPr>
            <w:r>
              <w:rPr>
                <w:b/>
                <w:sz w:val="18"/>
              </w:rPr>
              <w:t xml:space="preserve">Section</w:t>
            </w:r>
          </w:p>
        </w:tc>
        <w:tc>
          <w:tcPr>
            <w:tcW w:w="1432" w:type="dxa"/>
            <w:shd w:val="clear" w:color="auto" w:fill="DCE6F2"/>
          </w:tcPr>
          <w:p>
            <w:pPr>
              <w:pStyle w:val="Compact"/>
              <w:spacing w:after="20" w:before="20"/>
              <w:jc w:val="left"/>
            </w:pPr>
            <w:r>
              <w:rPr>
                <w:b/>
                <w:sz w:val="18"/>
              </w:rPr>
              <w:t xml:space="preserve">§</w:t>
            </w:r>
          </w:p>
        </w:tc>
        <w:tc>
          <w:tcPr>
            <w:tcW w:w="3606" w:type="dxa"/>
            <w:shd w:val="clear" w:color="auto" w:fill="DCE6F2"/>
          </w:tcPr>
          <w:p>
            <w:pPr>
              <w:pStyle w:val="Compact"/>
              <w:spacing w:after="20" w:before="20"/>
              <w:jc w:val="left"/>
            </w:pPr>
            <w:r>
              <w:rPr>
                <w:b/>
                <w:sz w:val="18"/>
              </w:rPr>
              <w:t xml:space="preserve">Section</w:t>
            </w:r>
          </w:p>
        </w:tc>
      </w:tr>
      <w:tr>
        <w:tc>
          <w:tcPr>
            <w:tcW w:w="1432" w:type="dxa"/>
          </w:tcPr>
          <w:p>
            <w:pPr>
              <w:pStyle w:val="Compact"/>
              <w:spacing w:after="20" w:before="20"/>
              <w:jc w:val="left"/>
            </w:pPr>
            <w:r>
              <w:rPr>
                <w:sz w:val="18"/>
              </w:rPr>
              <w:t xml:space="preserve">0</w:t>
            </w:r>
          </w:p>
        </w:tc>
        <w:tc>
          <w:tcPr>
            <w:tcW w:w="3320" w:type="dxa"/>
          </w:tcPr>
          <w:p>
            <w:pPr>
              <w:pStyle w:val="Compact"/>
              <w:spacing w:after="20" w:before="20"/>
              <w:jc w:val="left"/>
            </w:pPr>
            <w:r>
              <w:rPr>
                <w:sz w:val="18"/>
              </w:rPr>
              <w:t xml:space="preserve">Package summary</w:t>
            </w:r>
          </w:p>
        </w:tc>
        <w:tc>
          <w:tcPr>
            <w:tcW w:w="1432" w:type="dxa"/>
          </w:tcPr>
          <w:p>
            <w:pPr>
              <w:pStyle w:val="Compact"/>
              <w:spacing w:after="20" w:before="20"/>
              <w:jc w:val="left"/>
            </w:pPr>
            <w:r>
              <w:rPr>
                <w:sz w:val="18"/>
              </w:rPr>
              <w:t xml:space="preserve">8</w:t>
            </w:r>
          </w:p>
        </w:tc>
        <w:tc>
          <w:tcPr>
            <w:tcW w:w="3606" w:type="dxa"/>
          </w:tcPr>
          <w:p>
            <w:pPr>
              <w:pStyle w:val="Compact"/>
              <w:spacing w:after="20" w:before="20"/>
              <w:jc w:val="left"/>
            </w:pPr>
            <w:r>
              <w:rPr>
                <w:sz w:val="18"/>
              </w:rPr>
              <w:t xml:space="preserve">Environment plan</w:t>
            </w:r>
          </w:p>
        </w:tc>
      </w:tr>
      <w:tr>
        <w:tc>
          <w:tcPr>
            <w:tcW w:w="1432" w:type="dxa"/>
          </w:tcPr>
          <w:p>
            <w:pPr>
              <w:pStyle w:val="Compact"/>
              <w:spacing w:after="20" w:before="20"/>
              <w:jc w:val="left"/>
            </w:pPr>
            <w:r>
              <w:rPr>
                <w:sz w:val="18"/>
              </w:rPr>
              <w:t xml:space="preserve">1</w:t>
            </w:r>
          </w:p>
        </w:tc>
        <w:tc>
          <w:tcPr>
            <w:tcW w:w="3320" w:type="dxa"/>
          </w:tcPr>
          <w:p>
            <w:pPr>
              <w:pStyle w:val="Compact"/>
              <w:spacing w:after="20" w:before="20"/>
              <w:jc w:val="left"/>
            </w:pPr>
            <w:r>
              <w:rPr>
                <w:sz w:val="18"/>
              </w:rPr>
              <w:t xml:space="preserve">AI usage log</w:t>
            </w:r>
          </w:p>
        </w:tc>
        <w:tc>
          <w:tcPr>
            <w:tcW w:w="1432" w:type="dxa"/>
          </w:tcPr>
          <w:p>
            <w:pPr>
              <w:pStyle w:val="Compact"/>
              <w:spacing w:after="20" w:before="20"/>
              <w:jc w:val="left"/>
            </w:pPr>
            <w:r>
              <w:rPr>
                <w:sz w:val="18"/>
              </w:rPr>
              <w:t xml:space="preserve">9</w:t>
            </w:r>
          </w:p>
        </w:tc>
        <w:tc>
          <w:tcPr>
            <w:tcW w:w="3606" w:type="dxa"/>
          </w:tcPr>
          <w:p>
            <w:pPr>
              <w:pStyle w:val="Compact"/>
              <w:spacing w:after="20" w:before="20"/>
              <w:jc w:val="left"/>
            </w:pPr>
            <w:r>
              <w:rPr>
                <w:sz w:val="18"/>
              </w:rPr>
              <w:t xml:space="preserve">Build order, week by week</w:t>
            </w:r>
          </w:p>
        </w:tc>
      </w:tr>
      <w:tr>
        <w:tc>
          <w:tcPr>
            <w:tcW w:w="1432" w:type="dxa"/>
          </w:tcPr>
          <w:p>
            <w:pPr>
              <w:pStyle w:val="Compact"/>
              <w:spacing w:after="20" w:before="20"/>
              <w:jc w:val="left"/>
            </w:pPr>
            <w:r>
              <w:rPr>
                <w:sz w:val="18"/>
              </w:rPr>
              <w:t xml:space="preserve">2</w:t>
            </w:r>
          </w:p>
        </w:tc>
        <w:tc>
          <w:tcPr>
            <w:tcW w:w="3320" w:type="dxa"/>
          </w:tcPr>
          <w:p>
            <w:pPr>
              <w:pStyle w:val="Compact"/>
              <w:spacing w:after="20" w:before="20"/>
              <w:jc w:val="left"/>
            </w:pPr>
            <w:r>
              <w:rPr>
                <w:sz w:val="18"/>
              </w:rPr>
              <w:t xml:space="preserve">Traceability</w:t>
            </w:r>
          </w:p>
        </w:tc>
        <w:tc>
          <w:tcPr>
            <w:tcW w:w="1432" w:type="dxa"/>
          </w:tcPr>
          <w:p>
            <w:pPr>
              <w:pStyle w:val="Compact"/>
              <w:spacing w:after="20" w:before="20"/>
              <w:jc w:val="left"/>
            </w:pPr>
            <w:r>
              <w:rPr>
                <w:sz w:val="18"/>
              </w:rPr>
              <w:t xml:space="preserve">10</w:t>
            </w:r>
          </w:p>
        </w:tc>
        <w:tc>
          <w:tcPr>
            <w:tcW w:w="3606" w:type="dxa"/>
          </w:tcPr>
          <w:p>
            <w:pPr>
              <w:pStyle w:val="Compact"/>
              <w:spacing w:after="20" w:before="20"/>
              <w:jc w:val="left"/>
            </w:pPr>
            <w:r>
              <w:rPr>
                <w:sz w:val="18"/>
              </w:rPr>
              <w:t xml:space="preserve">Test and evaluation plan</w:t>
            </w:r>
          </w:p>
        </w:tc>
      </w:tr>
      <w:tr>
        <w:tc>
          <w:tcPr>
            <w:tcW w:w="1432" w:type="dxa"/>
          </w:tcPr>
          <w:p>
            <w:pPr>
              <w:pStyle w:val="Compact"/>
              <w:spacing w:after="20" w:before="20"/>
              <w:jc w:val="left"/>
            </w:pPr>
            <w:r>
              <w:rPr>
                <w:sz w:val="18"/>
              </w:rPr>
              <w:t xml:space="preserve">3</w:t>
            </w:r>
          </w:p>
        </w:tc>
        <w:tc>
          <w:tcPr>
            <w:tcW w:w="3320" w:type="dxa"/>
          </w:tcPr>
          <w:p>
            <w:pPr>
              <w:pStyle w:val="Compact"/>
              <w:spacing w:after="20" w:before="20"/>
              <w:jc w:val="left"/>
            </w:pPr>
            <w:r>
              <w:rPr>
                <w:sz w:val="18"/>
              </w:rPr>
              <w:t xml:space="preserve">Architecture views</w:t>
            </w:r>
          </w:p>
        </w:tc>
        <w:tc>
          <w:tcPr>
            <w:tcW w:w="1432" w:type="dxa"/>
          </w:tcPr>
          <w:p>
            <w:pPr>
              <w:pStyle w:val="Compact"/>
              <w:spacing w:after="20" w:before="20"/>
              <w:jc w:val="left"/>
            </w:pPr>
            <w:r>
              <w:rPr>
                <w:sz w:val="18"/>
              </w:rPr>
              <w:t xml:space="preserve">11</w:t>
            </w:r>
          </w:p>
        </w:tc>
        <w:tc>
          <w:tcPr>
            <w:tcW w:w="3606" w:type="dxa"/>
          </w:tcPr>
          <w:p>
            <w:pPr>
              <w:pStyle w:val="Compact"/>
              <w:spacing w:after="20" w:before="20"/>
              <w:jc w:val="left"/>
            </w:pPr>
            <w:r>
              <w:rPr>
                <w:sz w:val="18"/>
              </w:rPr>
              <w:t xml:space="preserve">Data validation and evidence strategy</w:t>
            </w:r>
          </w:p>
        </w:tc>
      </w:tr>
      <w:tr>
        <w:tc>
          <w:tcPr>
            <w:tcW w:w="1432" w:type="dxa"/>
          </w:tcPr>
          <w:p>
            <w:pPr>
              <w:pStyle w:val="Compact"/>
              <w:spacing w:after="20" w:before="20"/>
              <w:jc w:val="left"/>
            </w:pPr>
            <w:r>
              <w:rPr>
                <w:sz w:val="18"/>
              </w:rPr>
              <w:t xml:space="preserve">4</w:t>
            </w:r>
          </w:p>
        </w:tc>
        <w:tc>
          <w:tcPr>
            <w:tcW w:w="3320" w:type="dxa"/>
          </w:tcPr>
          <w:p>
            <w:pPr>
              <w:pStyle w:val="Compact"/>
              <w:spacing w:after="20" w:before="20"/>
              <w:jc w:val="left"/>
            </w:pPr>
            <w:r>
              <w:rPr>
                <w:sz w:val="18"/>
              </w:rPr>
              <w:t xml:space="preserve">Component and interface specifications</w:t>
            </w:r>
          </w:p>
        </w:tc>
        <w:tc>
          <w:tcPr>
            <w:tcW w:w="1432" w:type="dxa"/>
          </w:tcPr>
          <w:p>
            <w:pPr>
              <w:pStyle w:val="Compact"/>
              <w:spacing w:after="20" w:before="20"/>
              <w:jc w:val="left"/>
            </w:pPr>
            <w:r>
              <w:rPr>
                <w:sz w:val="18"/>
              </w:rPr>
              <w:t xml:space="preserve">12</w:t>
            </w:r>
          </w:p>
        </w:tc>
        <w:tc>
          <w:tcPr>
            <w:tcW w:w="3606" w:type="dxa"/>
          </w:tcPr>
          <w:p>
            <w:pPr>
              <w:pStyle w:val="Compact"/>
              <w:spacing w:after="20" w:before="20"/>
              <w:jc w:val="left"/>
            </w:pPr>
            <w:r>
              <w:rPr>
                <w:sz w:val="18"/>
              </w:rPr>
              <w:t xml:space="preserve">Design review: risks, dependencies, gaps</w:t>
            </w:r>
          </w:p>
        </w:tc>
      </w:tr>
      <w:tr>
        <w:tc>
          <w:tcPr>
            <w:tcW w:w="1432" w:type="dxa"/>
          </w:tcPr>
          <w:p>
            <w:pPr>
              <w:pStyle w:val="Compact"/>
              <w:spacing w:after="20" w:before="20"/>
              <w:jc w:val="left"/>
            </w:pPr>
            <w:r>
              <w:rPr>
                <w:sz w:val="18"/>
              </w:rPr>
              <w:t xml:space="preserve">5</w:t>
            </w:r>
          </w:p>
        </w:tc>
        <w:tc>
          <w:tcPr>
            <w:tcW w:w="3320" w:type="dxa"/>
          </w:tcPr>
          <w:p>
            <w:pPr>
              <w:pStyle w:val="Compact"/>
              <w:spacing w:after="20" w:before="20"/>
              <w:jc w:val="left"/>
            </w:pPr>
            <w:r>
              <w:rPr>
                <w:sz w:val="18"/>
              </w:rPr>
              <w:t xml:space="preserve">Data design</w:t>
            </w:r>
          </w:p>
        </w:tc>
        <w:tc>
          <w:tcPr>
            <w:tcW w:w="1432" w:type="dxa"/>
          </w:tcPr>
          <w:p>
            <w:pPr>
              <w:pStyle w:val="Compact"/>
              <w:spacing w:after="20" w:before="20"/>
              <w:jc w:val="left"/>
            </w:pPr>
            <w:r>
              <w:rPr>
                <w:sz w:val="18"/>
              </w:rPr>
              <w:t xml:space="preserve">13</w:t>
            </w:r>
          </w:p>
        </w:tc>
        <w:tc>
          <w:tcPr>
            <w:tcW w:w="3606" w:type="dxa"/>
          </w:tcPr>
          <w:p>
            <w:pPr>
              <w:pStyle w:val="Compact"/>
              <w:spacing w:after="20" w:before="20"/>
              <w:jc w:val="left"/>
            </w:pPr>
            <w:r>
              <w:rPr>
                <w:sz w:val="18"/>
              </w:rPr>
              <w:t xml:space="preserve">Supervisor review record and revision log</w:t>
            </w:r>
          </w:p>
        </w:tc>
      </w:tr>
      <w:tr>
        <w:tc>
          <w:tcPr>
            <w:tcW w:w="1432" w:type="dxa"/>
          </w:tcPr>
          <w:p>
            <w:pPr>
              <w:pStyle w:val="Compact"/>
              <w:spacing w:after="20" w:before="20"/>
              <w:jc w:val="left"/>
            </w:pPr>
            <w:r>
              <w:rPr>
                <w:sz w:val="18"/>
              </w:rPr>
              <w:t xml:space="preserve">6</w:t>
            </w:r>
          </w:p>
        </w:tc>
        <w:tc>
          <w:tcPr>
            <w:tcW w:w="3320" w:type="dxa"/>
          </w:tcPr>
          <w:p>
            <w:pPr>
              <w:pStyle w:val="Compact"/>
              <w:spacing w:after="20" w:before="20"/>
              <w:jc w:val="left"/>
            </w:pPr>
            <w:r>
              <w:rPr>
                <w:sz w:val="18"/>
              </w:rPr>
              <w:t xml:space="preserve">Computational method</w:t>
            </w:r>
          </w:p>
        </w:tc>
        <w:tc>
          <w:tcPr>
            <w:tcW w:w="1432" w:type="dxa"/>
          </w:tcPr>
          <w:p>
            <w:pPr>
              <w:pStyle w:val="Compact"/>
              <w:spacing w:after="20" w:before="20"/>
              <w:jc w:val="left"/>
            </w:pPr>
            <w:r>
              <w:rPr>
                <w:sz w:val="18"/>
              </w:rPr>
              <w:t xml:space="preserve">14</w:t>
            </w:r>
          </w:p>
        </w:tc>
        <w:tc>
          <w:tcPr>
            <w:tcW w:w="3606" w:type="dxa"/>
          </w:tcPr>
          <w:p>
            <w:pPr>
              <w:pStyle w:val="Compact"/>
              <w:spacing w:after="20" w:before="20"/>
              <w:jc w:val="left"/>
            </w:pPr>
            <w:r>
              <w:rPr>
                <w:sz w:val="18"/>
              </w:rPr>
              <w:t xml:space="preserve">ADR index and references</w:t>
            </w:r>
          </w:p>
        </w:tc>
      </w:tr>
      <w:tr>
        <w:tc>
          <w:tcPr>
            <w:tcW w:w="1432" w:type="dxa"/>
          </w:tcPr>
          <w:p>
            <w:pPr>
              <w:pStyle w:val="Compact"/>
              <w:spacing w:after="20" w:before="20"/>
              <w:jc w:val="left"/>
            </w:pPr>
            <w:r>
              <w:rPr>
                <w:sz w:val="18"/>
              </w:rPr>
              <w:t xml:space="preserve">7</w:t>
            </w:r>
          </w:p>
        </w:tc>
        <w:tc>
          <w:tcPr>
            <w:tcW w:w="3320" w:type="dxa"/>
          </w:tcPr>
          <w:p>
            <w:pPr>
              <w:pStyle w:val="Compact"/>
              <w:spacing w:after="20" w:before="20"/>
              <w:jc w:val="left"/>
            </w:pPr>
            <w:r>
              <w:rPr>
                <w:sz w:val="18"/>
              </w:rPr>
              <w:t xml:space="preserve">API and integration contracts</w:t>
            </w:r>
          </w:p>
        </w:tc>
        <w:tc>
          <w:tcPr>
            <w:tcW w:w="1432" w:type="dxa"/>
          </w:tcPr>
          <w:p>
            <w:pPr>
              <w:pStyle w:val="Compact"/>
              <w:spacing w:after="20" w:before="20"/>
            </w:pPr>
          </w:p>
        </w:tc>
        <w:tc>
          <w:tcPr>
            <w:tcW w:w="3606" w:type="dxa"/>
          </w:tcPr>
          <w:p>
            <w:pPr>
              <w:pStyle w:val="Compact"/>
              <w:spacing w:after="20" w:before="20"/>
            </w:pPr>
          </w:p>
        </w:tc>
      </w:tr>
    </w:tbl>
    <w:bookmarkStart w:id="20" w:name="package-summary"/>
    <w:p>
      <w:pPr>
        <w:pStyle w:val="Heading1"/>
      </w:pPr>
      <w:r>
        <w:t xml:space="preserve">0. Package summary</w:t>
      </w:r>
    </w:p>
    <w:p>
      <w:pPr>
        <w:pStyle w:val="FirstParagraph"/>
      </w:pPr>
      <w:r>
        <w:t xml:space="preserve">This package commits the project to one buildable design: a Python federation engine that reads backend placement from</w:t>
      </w:r>
      <w:r>
        <w:t xml:space="preserve"> </w:t>
      </w:r>
      <w:r>
        <w:rPr>
          <w:rStyle w:val="VerbatimChar"/>
        </w:rPr>
        <w:t xml:space="preserve">@store</w:t>
      </w:r>
      <w:r>
        <w:t xml:space="preserve"> </w:t>
      </w:r>
      <w:r>
        <w:t xml:space="preserve">directives in GraphQL SDL, pushes predicates and join keys into PostgreSQL and MongoDB, joins in memory, and is judged against a consolidated-PostgreSQL oracle and four measurement arms. It builds directly on the HS1 Proposal Approval Package (v0.1, 9/13/2026); objective, criterion, work-package and risk IDs (O-, SC-, WP-, R-) are carried over unchanged.</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2635"/>
        <w:gridCol w:w="7156"/>
      </w:tblGrid>
      <w:tr>
        <w:trPr>
          <w:tblHeader w:val="true"/>
          <w:tblHeader w:val="true"/>
        </w:trPr>
        <w:tc>
          <w:tcPr>
            <w:tcW w:w="2635" w:type="dxa"/>
            <w:shd w:val="clear" w:color="auto" w:fill="DCE6F2"/>
          </w:tcPr>
          <w:p>
            <w:pPr>
              <w:pStyle w:val="Compact"/>
              <w:spacing w:after="20" w:before="20"/>
              <w:jc w:val="left"/>
            </w:pPr>
            <w:r>
              <w:rPr>
                <w:b/>
                <w:sz w:val="18"/>
              </w:rPr>
              <w:t xml:space="preserve">Field</w:t>
            </w:r>
          </w:p>
        </w:tc>
        <w:tc>
          <w:tcPr>
            <w:tcW w:w="7156" w:type="dxa"/>
            <w:shd w:val="clear" w:color="auto" w:fill="DCE6F2"/>
          </w:tcPr>
          <w:p>
            <w:pPr>
              <w:pStyle w:val="Compact"/>
              <w:spacing w:after="20" w:before="20"/>
              <w:jc w:val="left"/>
            </w:pPr>
            <w:r>
              <w:rPr>
                <w:b/>
                <w:sz w:val="18"/>
              </w:rPr>
              <w:t xml:space="preserve">Value</w:t>
            </w:r>
          </w:p>
        </w:tc>
      </w:tr>
      <w:tr>
        <w:tc>
          <w:tcPr>
            <w:tcW w:w="2635" w:type="dxa"/>
          </w:tcPr>
          <w:p>
            <w:pPr>
              <w:pStyle w:val="Compact"/>
              <w:spacing w:after="20" w:before="20"/>
              <w:jc w:val="left"/>
            </w:pPr>
            <w:r>
              <w:rPr>
                <w:sz w:val="18"/>
              </w:rPr>
              <w:t xml:space="preserve">Project</w:t>
            </w:r>
          </w:p>
        </w:tc>
        <w:tc>
          <w:tcPr>
            <w:tcW w:w="7156" w:type="dxa"/>
          </w:tcPr>
          <w:p>
            <w:pPr>
              <w:pStyle w:val="Compact"/>
              <w:spacing w:after="20" w:before="20"/>
              <w:jc w:val="left"/>
            </w:pPr>
            <w:r>
              <w:rPr>
                <w:sz w:val="18"/>
              </w:rPr>
              <w:t xml:space="preserve">Placement as Schema: A GraphQL Federation Layer with Backend Placement Declared in the Type System, and the Workload Point Where Federation Stops Paying</w:t>
            </w:r>
          </w:p>
        </w:tc>
      </w:tr>
      <w:tr>
        <w:tc>
          <w:tcPr>
            <w:tcW w:w="2635" w:type="dxa"/>
          </w:tcPr>
          <w:p>
            <w:pPr>
              <w:pStyle w:val="Compact"/>
              <w:spacing w:after="20" w:before="20"/>
              <w:jc w:val="left"/>
            </w:pPr>
            <w:r>
              <w:rPr>
                <w:sz w:val="18"/>
              </w:rPr>
              <w:t xml:space="preserve">Student</w:t>
            </w:r>
          </w:p>
        </w:tc>
        <w:tc>
          <w:tcPr>
            <w:tcW w:w="7156" w:type="dxa"/>
          </w:tcPr>
          <w:p>
            <w:pPr>
              <w:pStyle w:val="Compact"/>
              <w:spacing w:after="20" w:before="20"/>
              <w:jc w:val="left"/>
            </w:pPr>
            <w:r>
              <w:rPr>
                <w:sz w:val="18"/>
              </w:rPr>
              <w:t xml:space="preserve">Jai Behl</w:t>
            </w:r>
          </w:p>
        </w:tc>
      </w:tr>
      <w:tr>
        <w:tc>
          <w:tcPr>
            <w:tcW w:w="2635" w:type="dxa"/>
          </w:tcPr>
          <w:p>
            <w:pPr>
              <w:pStyle w:val="Compact"/>
              <w:spacing w:after="20" w:before="20"/>
              <w:jc w:val="left"/>
            </w:pPr>
            <w:r>
              <w:rPr>
                <w:sz w:val="18"/>
              </w:rPr>
              <w:t xml:space="preserve">Supervisor</w:t>
            </w:r>
          </w:p>
        </w:tc>
        <w:tc>
          <w:tcPr>
            <w:tcW w:w="7156" w:type="dxa"/>
          </w:tcPr>
          <w:p>
            <w:pPr>
              <w:pStyle w:val="Compact"/>
              <w:spacing w:after="20" w:before="20"/>
              <w:jc w:val="left"/>
            </w:pPr>
            <w:r>
              <w:rPr>
                <w:sz w:val="18"/>
              </w:rPr>
              <w:t xml:space="preserve">Majid Shaalan, Ph.D.</w:t>
            </w:r>
          </w:p>
        </w:tc>
      </w:tr>
      <w:tr>
        <w:tc>
          <w:tcPr>
            <w:tcW w:w="2635" w:type="dxa"/>
          </w:tcPr>
          <w:p>
            <w:pPr>
              <w:pStyle w:val="Compact"/>
              <w:spacing w:after="20" w:before="20"/>
              <w:jc w:val="left"/>
            </w:pPr>
            <w:r>
              <w:rPr>
                <w:sz w:val="18"/>
              </w:rPr>
              <w:t xml:space="preserve">Hard stop</w:t>
            </w:r>
          </w:p>
        </w:tc>
        <w:tc>
          <w:tcPr>
            <w:tcW w:w="7156" w:type="dxa"/>
          </w:tcPr>
          <w:p>
            <w:pPr>
              <w:pStyle w:val="Compact"/>
              <w:spacing w:after="20" w:before="20"/>
              <w:jc w:val="left"/>
            </w:pPr>
            <w:r>
              <w:rPr>
                <w:sz w:val="18"/>
              </w:rPr>
              <w:t xml:space="preserve">HS2 — Design Review (Week 4)</w:t>
            </w:r>
          </w:p>
        </w:tc>
      </w:tr>
      <w:tr>
        <w:tc>
          <w:tcPr>
            <w:tcW w:w="2635" w:type="dxa"/>
          </w:tcPr>
          <w:p>
            <w:pPr>
              <w:pStyle w:val="Compact"/>
              <w:spacing w:after="20" w:before="20"/>
              <w:jc w:val="left"/>
            </w:pPr>
            <w:r>
              <w:rPr>
                <w:sz w:val="18"/>
              </w:rPr>
              <w:t xml:space="preserve">Repository</w:t>
            </w:r>
          </w:p>
        </w:tc>
        <w:tc>
          <w:tcPr>
            <w:tcW w:w="7156" w:type="dxa"/>
          </w:tcPr>
          <w:p>
            <w:pPr>
              <w:pStyle w:val="Compact"/>
              <w:spacing w:after="20" w:before="20"/>
              <w:jc w:val="left"/>
            </w:pPr>
            <w:r>
              <w:rPr>
                <w:sz w:val="18"/>
              </w:rPr>
              <w:t xml:space="preserve">github.com/ciel57142-wq/CISC699</w:t>
            </w:r>
          </w:p>
        </w:tc>
      </w:tr>
      <w:tr>
        <w:tc>
          <w:tcPr>
            <w:tcW w:w="2635" w:type="dxa"/>
          </w:tcPr>
          <w:p>
            <w:pPr>
              <w:pStyle w:val="Compact"/>
              <w:spacing w:after="20" w:before="20"/>
              <w:jc w:val="left"/>
            </w:pPr>
            <w:r>
              <w:rPr>
                <w:sz w:val="18"/>
              </w:rPr>
              <w:t xml:space="preserve">Document version</w:t>
            </w:r>
          </w:p>
        </w:tc>
        <w:tc>
          <w:tcPr>
            <w:tcW w:w="7156" w:type="dxa"/>
          </w:tcPr>
          <w:p>
            <w:pPr>
              <w:pStyle w:val="Compact"/>
              <w:spacing w:after="20" w:before="20"/>
              <w:jc w:val="left"/>
            </w:pPr>
            <w:r>
              <w:rPr>
                <w:sz w:val="18"/>
              </w:rPr>
              <w:t xml:space="preserve">v0.2 (design); supersedes nothing in HS1, amends it where §13 says so</w:t>
            </w:r>
          </w:p>
        </w:tc>
      </w:tr>
    </w:tbl>
    <w:p>
      <w:pPr>
        <w:pStyle w:val="BodyText"/>
      </w:pPr>
      <w:r>
        <w:rPr>
          <w:bCs/>
          <w:b/>
        </w:rPr>
        <w:t xml:space="preserve">Four design decisions this package makes that HS1 left open.</w:t>
      </w:r>
    </w:p>
    <w:p>
      <w:pPr>
        <w:numPr>
          <w:ilvl w:val="0"/>
          <w:numId w:val="1001"/>
        </w:numPr>
        <w:pStyle w:val="Compact"/>
      </w:pPr>
      <w:r>
        <w:rPr>
          <w:bCs/>
          <w:b/>
        </w:rPr>
        <w:t xml:space="preserve">Workload data is generated, not downloaded.</w:t>
      </w:r>
      <w:r>
        <w:t xml:space="preserve"> </w:t>
      </w:r>
      <w:r>
        <w:t xml:space="preserve">UniBench’s schema and query shapes are kept; its data is not used. The UniBench repository shows no licence file, and its data is derived from LDBC, DBpedia and the Amazon product dataset, which contains real user-written reviews. That conflicts with HS1 assumption A5 (synthetic data only). A seeded generator on the UniBench schema replaces it (§5, ADR-0005).</w:t>
      </w:r>
    </w:p>
    <w:p>
      <w:pPr>
        <w:numPr>
          <w:ilvl w:val="0"/>
          <w:numId w:val="1001"/>
        </w:numPr>
        <w:pStyle w:val="Compact"/>
      </w:pPr>
      <w:r>
        <w:rPr>
          <w:bCs/>
          <w:b/>
        </w:rPr>
        <w:t xml:space="preserve">Parser: graphql-core 3.2, not hand-written.</w:t>
      </w:r>
      <w:r>
        <w:t xml:space="preserve"> </w:t>
      </w:r>
      <w:r>
        <w:t xml:space="preserve">graphql-core exposes schema directive arguments through</w:t>
      </w:r>
      <w:r>
        <w:t xml:space="preserve"> </w:t>
      </w:r>
      <w:r>
        <w:rPr>
          <w:rStyle w:val="VerbatimChar"/>
        </w:rPr>
        <w:t xml:space="preserve">get_directive_values</w:t>
      </w:r>
      <w:r>
        <w:t xml:space="preserve"> </w:t>
      </w:r>
      <w:r>
        <w:t xml:space="preserve">on a field’s</w:t>
      </w:r>
      <w:r>
        <w:t xml:space="preserve"> </w:t>
      </w:r>
      <w:r>
        <w:rPr>
          <w:rStyle w:val="VerbatimChar"/>
        </w:rPr>
        <w:t xml:space="preserve">ast_node</w:t>
      </w:r>
      <w:r>
        <w:t xml:space="preserve">, which closes R8 at design level (ADR-0002).</w:t>
      </w:r>
    </w:p>
    <w:p>
      <w:pPr>
        <w:numPr>
          <w:ilvl w:val="0"/>
          <w:numId w:val="1001"/>
        </w:numPr>
        <w:pStyle w:val="Compact"/>
      </w:pPr>
      <w:r>
        <w:rPr>
          <w:bCs/>
          <w:b/>
        </w:rPr>
        <w:t xml:space="preserve">Cross-store joins use a bind join.</w:t>
      </w:r>
      <w:r>
        <w:t xml:space="preserve"> </w:t>
      </w:r>
      <w:r>
        <w:t xml:space="preserve">The driving side’s join keys are pushed into the second backend as an</w:t>
      </w:r>
      <w:r>
        <w:t xml:space="preserve"> </w:t>
      </w:r>
      <w:r>
        <w:rPr>
          <w:rStyle w:val="VerbatimChar"/>
        </w:rPr>
        <w:t xml:space="preserve">IN</w:t>
      </w:r>
      <w:r>
        <w:t xml:space="preserve"> </w:t>
      </w:r>
      <w:r>
        <w:t xml:space="preserve">/</w:t>
      </w:r>
      <w:r>
        <w:t xml:space="preserve"> </w:t>
      </w:r>
      <w:r>
        <w:rPr>
          <w:rStyle w:val="VerbatimChar"/>
        </w:rPr>
        <w:t xml:space="preserve">$in</w:t>
      </w:r>
      <w:r>
        <w:t xml:space="preserve"> </w:t>
      </w:r>
      <w:r>
        <w:t xml:space="preserve">filter. Without it, federated bytes scale with table size rather than with k, and the crossover would measure a strawman (§6, ADR-0006).</w:t>
      </w:r>
    </w:p>
    <w:p>
      <w:pPr>
        <w:numPr>
          <w:ilvl w:val="0"/>
          <w:numId w:val="1001"/>
        </w:numPr>
        <w:pStyle w:val="Compact"/>
      </w:pPr>
      <w:r>
        <w:rPr>
          <w:bCs/>
          <w:b/>
        </w:rPr>
        <w:t xml:space="preserve">A second schema directive,</w:t>
      </w:r>
      <w:r>
        <w:rPr>
          <w:bCs/>
          <w:b/>
        </w:rPr>
        <w:t xml:space="preserve"> </w:t>
      </w:r>
      <w:r>
        <w:rPr>
          <w:rStyle w:val="VerbatimChar"/>
          <w:bCs/>
          <w:b/>
        </w:rPr>
        <w:t xml:space="preserve">@ref</w:t>
      </w:r>
      <w:r>
        <w:rPr>
          <w:bCs/>
          <w:b/>
        </w:rPr>
        <w:t xml:space="preserve">, declares join keys.</w:t>
      </w:r>
      <w:r>
        <w:t xml:space="preserve"> </w:t>
      </w:r>
      <w:r>
        <w:t xml:space="preserve">HS1 §5.3 #6 excluded directives other than the placement annotation. The engine cannot join without a declared key, so</w:t>
      </w:r>
      <w:r>
        <w:t xml:space="preserve"> </w:t>
      </w:r>
      <w:r>
        <w:rPr>
          <w:rStyle w:val="VerbatimChar"/>
        </w:rPr>
        <w:t xml:space="preserve">@ref</w:t>
      </w:r>
      <w:r>
        <w:t xml:space="preserve"> </w:t>
      </w:r>
      <w:r>
        <w:t xml:space="preserve">is added and counted as a concept in the SC-6 study (§13, amendment H2-A1).</w:t>
      </w:r>
    </w:p>
    <w:p>
      <w:pPr>
        <w:pStyle w:val="FirstParagraph"/>
      </w:pPr>
      <w:r>
        <w:rPr>
          <w:bCs/>
          <w:b/>
        </w:rPr>
        <w:t xml:space="preserve">Carry-over status from HS1 (Week 3–4 gates).</w:t>
      </w:r>
      <w:r>
        <w:t xml:space="preserve"> </w:t>
      </w:r>
      <w:r>
        <w:t xml:space="preserve">Items marked</w:t>
      </w:r>
      <w:r>
        <w:t xml:space="preserve"> </w:t>
      </w:r>
      <w:r>
        <w:rPr>
          <w:iCs/>
          <w:i/>
        </w:rPr>
        <w:t xml:space="preserve">confirm</w:t>
      </w:r>
      <w:r>
        <w:t xml:space="preserve"> </w:t>
      </w:r>
      <w:r>
        <w:t xml:space="preserve">are ones only the student can verify; this package does not claim them done.</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4312"/>
        <w:gridCol w:w="5479"/>
      </w:tblGrid>
      <w:tr>
        <w:trPr>
          <w:tblHeader w:val="true"/>
          <w:tblHeader w:val="true"/>
        </w:trPr>
        <w:tc>
          <w:tcPr>
            <w:tcW w:w="4312" w:type="dxa"/>
            <w:shd w:val="clear" w:color="auto" w:fill="DCE6F2"/>
          </w:tcPr>
          <w:p>
            <w:pPr>
              <w:pStyle w:val="Compact"/>
              <w:spacing w:after="20" w:before="20"/>
              <w:jc w:val="left"/>
            </w:pPr>
            <w:r>
              <w:rPr>
                <w:b/>
                <w:sz w:val="18"/>
              </w:rPr>
              <w:t xml:space="preserve">HS1 item</w:t>
            </w:r>
          </w:p>
        </w:tc>
        <w:tc>
          <w:tcPr>
            <w:tcW w:w="5479" w:type="dxa"/>
            <w:shd w:val="clear" w:color="auto" w:fill="DCE6F2"/>
          </w:tcPr>
          <w:p>
            <w:pPr>
              <w:pStyle w:val="Compact"/>
              <w:spacing w:after="20" w:before="20"/>
              <w:jc w:val="left"/>
            </w:pPr>
            <w:r>
              <w:rPr>
                <w:b/>
                <w:sz w:val="18"/>
              </w:rPr>
              <w:t xml:space="preserve">Status in this package</w:t>
            </w:r>
          </w:p>
        </w:tc>
      </w:tr>
      <w:tr>
        <w:tc>
          <w:tcPr>
            <w:tcW w:w="4312" w:type="dxa"/>
          </w:tcPr>
          <w:p>
            <w:pPr>
              <w:pStyle w:val="Compact"/>
              <w:spacing w:after="20" w:before="20"/>
              <w:jc w:val="left"/>
            </w:pPr>
            <w:r>
              <w:rPr>
                <w:sz w:val="18"/>
              </w:rPr>
              <w:t xml:space="preserve">M1 — Compose stack up, dependency table closed</w:t>
            </w:r>
          </w:p>
        </w:tc>
        <w:tc>
          <w:tcPr>
            <w:tcW w:w="5479" w:type="dxa"/>
          </w:tcPr>
          <w:p>
            <w:pPr>
              <w:pStyle w:val="Compact"/>
              <w:spacing w:after="20" w:before="20"/>
              <w:jc w:val="left"/>
            </w:pPr>
            <w:r>
              <w:rPr>
                <w:sz w:val="18"/>
              </w:rPr>
              <w:t xml:space="preserve">Dependency table closed at design level (§8). Stack running:</w:t>
            </w:r>
            <w:r>
              <w:rPr>
                <w:sz w:val="18"/>
              </w:rPr>
              <w:t xml:space="preserve"> </w:t>
            </w:r>
            <w:r>
              <w:rPr>
                <w:iCs/>
                <w:i/>
                <w:sz w:val="18"/>
              </w:rPr>
              <w:t xml:space="preserve">confirm</w:t>
            </w:r>
          </w:p>
        </w:tc>
      </w:tr>
      <w:tr>
        <w:tc>
          <w:tcPr>
            <w:tcW w:w="4312" w:type="dxa"/>
          </w:tcPr>
          <w:p>
            <w:pPr>
              <w:pStyle w:val="Compact"/>
              <w:spacing w:after="20" w:before="20"/>
              <w:jc w:val="left"/>
            </w:pPr>
            <w:r>
              <w:rPr>
                <w:sz w:val="18"/>
              </w:rPr>
              <w:t xml:space="preserve">M1 — Unibench licence resolved</w:t>
            </w:r>
          </w:p>
        </w:tc>
        <w:tc>
          <w:tcPr>
            <w:tcW w:w="5479" w:type="dxa"/>
          </w:tcPr>
          <w:p>
            <w:pPr>
              <w:pStyle w:val="Compact"/>
              <w:spacing w:after="20" w:before="20"/>
              <w:jc w:val="left"/>
            </w:pPr>
            <w:r>
              <w:rPr>
                <w:sz w:val="18"/>
              </w:rPr>
              <w:t xml:space="preserve">Resolved: not used as a data source (decision 1)</w:t>
            </w:r>
          </w:p>
        </w:tc>
      </w:tr>
      <w:tr>
        <w:tc>
          <w:tcPr>
            <w:tcW w:w="4312" w:type="dxa"/>
          </w:tcPr>
          <w:p>
            <w:pPr>
              <w:pStyle w:val="Compact"/>
              <w:spacing w:after="20" w:before="20"/>
              <w:jc w:val="left"/>
            </w:pPr>
            <w:r>
              <w:rPr>
                <w:sz w:val="18"/>
              </w:rPr>
              <w:t xml:space="preserve">M1 — Hasura account verified</w:t>
            </w:r>
          </w:p>
        </w:tc>
        <w:tc>
          <w:tcPr>
            <w:tcW w:w="5479" w:type="dxa"/>
          </w:tcPr>
          <w:p>
            <w:pPr>
              <w:pStyle w:val="Compact"/>
              <w:spacing w:after="20" w:before="20"/>
              <w:jc w:val="left"/>
            </w:pPr>
            <w:r>
              <w:rPr>
                <w:sz w:val="18"/>
              </w:rPr>
              <w:t xml:space="preserve">Open. Local build still needs a DDN login (§12, highest-risk dependency)</w:t>
            </w:r>
          </w:p>
        </w:tc>
      </w:tr>
      <w:tr>
        <w:tc>
          <w:tcPr>
            <w:tcW w:w="4312" w:type="dxa"/>
          </w:tcPr>
          <w:p>
            <w:pPr>
              <w:pStyle w:val="Compact"/>
              <w:spacing w:after="20" w:before="20"/>
              <w:jc w:val="left"/>
            </w:pPr>
            <w:r>
              <w:rPr>
                <w:sz w:val="18"/>
              </w:rPr>
              <w:t xml:space="preserve">M2 — ADR-0003</w:t>
            </w:r>
            <w:r>
              <w:rPr>
                <w:sz w:val="18"/>
              </w:rPr>
              <w:t xml:space="preserve"> </w:t>
            </w:r>
            <w:r>
              <w:rPr>
                <w:rStyle w:val="VerbatimChar"/>
                <w:sz w:val="18"/>
              </w:rPr>
              <w:t xml:space="preserve">@store</w:t>
            </w:r>
            <w:r>
              <w:rPr>
                <w:sz w:val="18"/>
              </w:rPr>
              <w:t xml:space="preserve"> </w:t>
            </w:r>
            <w:r>
              <w:rPr>
                <w:sz w:val="18"/>
              </w:rPr>
              <w:t xml:space="preserve">syntax frozen</w:t>
            </w:r>
          </w:p>
        </w:tc>
        <w:tc>
          <w:tcPr>
            <w:tcW w:w="5479" w:type="dxa"/>
          </w:tcPr>
          <w:p>
            <w:pPr>
              <w:pStyle w:val="Compact"/>
              <w:spacing w:after="20" w:before="20"/>
              <w:jc w:val="left"/>
            </w:pPr>
            <w:r>
              <w:rPr>
                <w:sz w:val="18"/>
              </w:rPr>
              <w:t xml:space="preserve">Proposed in §5 and §7; commit to</w:t>
            </w:r>
            <w:r>
              <w:rPr>
                <w:sz w:val="18"/>
              </w:rPr>
              <w:t xml:space="preserve"> </w:t>
            </w:r>
            <w:r>
              <w:rPr>
                <w:rStyle w:val="VerbatimChar"/>
                <w:sz w:val="18"/>
              </w:rPr>
              <w:t xml:space="preserve">docs/decisions/</w:t>
            </w:r>
            <w:r>
              <w:rPr>
                <w:sz w:val="18"/>
              </w:rPr>
              <w:t xml:space="preserve">:</w:t>
            </w:r>
            <w:r>
              <w:rPr>
                <w:sz w:val="18"/>
              </w:rPr>
              <w:t xml:space="preserve"> </w:t>
            </w:r>
            <w:r>
              <w:rPr>
                <w:iCs/>
                <w:i/>
                <w:sz w:val="18"/>
              </w:rPr>
              <w:t xml:space="preserve">confirm</w:t>
            </w:r>
          </w:p>
        </w:tc>
      </w:tr>
      <w:tr>
        <w:tc>
          <w:tcPr>
            <w:tcW w:w="4312" w:type="dxa"/>
          </w:tcPr>
          <w:p>
            <w:pPr>
              <w:pStyle w:val="Compact"/>
              <w:spacing w:after="20" w:before="20"/>
              <w:jc w:val="left"/>
            </w:pPr>
            <w:r>
              <w:rPr>
                <w:sz w:val="18"/>
              </w:rPr>
              <w:t xml:space="preserve">M3 — Data loaded, both placements equivalent</w:t>
            </w:r>
          </w:p>
        </w:tc>
        <w:tc>
          <w:tcPr>
            <w:tcW w:w="5479" w:type="dxa"/>
          </w:tcPr>
          <w:p>
            <w:pPr>
              <w:pStyle w:val="Compact"/>
              <w:spacing w:after="20" w:before="20"/>
              <w:jc w:val="left"/>
            </w:pPr>
            <w:r>
              <w:rPr>
                <w:sz w:val="18"/>
              </w:rPr>
              <w:t xml:space="preserve">Moved to Week 6 because the generator is new work (§9)</w:t>
            </w:r>
          </w:p>
        </w:tc>
      </w:tr>
      <w:tr>
        <w:tc>
          <w:tcPr>
            <w:tcW w:w="4312" w:type="dxa"/>
          </w:tcPr>
          <w:p>
            <w:pPr>
              <w:pStyle w:val="Compact"/>
              <w:spacing w:after="20" w:before="20"/>
              <w:jc w:val="left"/>
            </w:pPr>
            <w:r>
              <w:rPr>
                <w:sz w:val="18"/>
              </w:rPr>
              <w:t xml:space="preserve">HS1 §11 Decisions 1–7</w:t>
            </w:r>
          </w:p>
        </w:tc>
        <w:tc>
          <w:tcPr>
            <w:tcW w:w="5479" w:type="dxa"/>
          </w:tcPr>
          <w:p>
            <w:pPr>
              <w:pStyle w:val="Compact"/>
              <w:spacing w:after="20" w:before="20"/>
              <w:jc w:val="left"/>
            </w:pPr>
            <w:r>
              <w:rPr>
                <w:sz w:val="18"/>
              </w:rPr>
              <w:t xml:space="preserve">Outcomes to be recorded in §13</w:t>
            </w:r>
          </w:p>
        </w:tc>
      </w:tr>
    </w:tbl>
    <w:bookmarkEnd w:id="20"/>
    <w:bookmarkStart w:id="21" w:name="ai-usage-log-continued-from-hs1-1"/>
    <w:p>
      <w:pPr>
        <w:pStyle w:val="Heading1"/>
      </w:pPr>
      <w:r>
        <w:t xml:space="preserve">1. AI usage log (continued from HS1 §1)</w:t>
      </w:r>
    </w:p>
    <w:p>
      <w:pPr>
        <w:pStyle w:val="FirstParagraph"/>
      </w:pPr>
      <w:r>
        <w:t xml:space="preserve">AI assistance for HS2 was substantial and is itemized below; every design decision in this package is mine to defend in the walkthrough. No number in this document is a measurement. All thresholds remain the HS1 provisional thresholds.</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974"/>
        <w:gridCol w:w="974"/>
        <w:gridCol w:w="1804"/>
        <w:gridCol w:w="1904"/>
        <w:gridCol w:w="4134"/>
      </w:tblGrid>
      <w:tr>
        <w:trPr>
          <w:tblHeader w:val="true"/>
          <w:tblHeader w:val="true"/>
        </w:trPr>
        <w:tc>
          <w:tcPr>
            <w:tcW w:w="974" w:type="dxa"/>
            <w:shd w:val="clear" w:color="auto" w:fill="DCE6F2"/>
          </w:tcPr>
          <w:p>
            <w:pPr>
              <w:pStyle w:val="Compact"/>
              <w:spacing w:after="20" w:before="20"/>
              <w:jc w:val="left"/>
            </w:pPr>
            <w:r>
              <w:rPr>
                <w:b/>
                <w:sz w:val="16"/>
              </w:rPr>
              <w:t xml:space="preserve">#</w:t>
            </w:r>
          </w:p>
        </w:tc>
        <w:tc>
          <w:tcPr>
            <w:tcW w:w="974" w:type="dxa"/>
            <w:shd w:val="clear" w:color="auto" w:fill="DCE6F2"/>
          </w:tcPr>
          <w:p>
            <w:pPr>
              <w:pStyle w:val="Compact"/>
              <w:spacing w:after="20" w:before="20"/>
              <w:jc w:val="left"/>
            </w:pPr>
            <w:r>
              <w:rPr>
                <w:b/>
                <w:sz w:val="16"/>
              </w:rPr>
              <w:t xml:space="preserve">Date</w:t>
            </w:r>
          </w:p>
        </w:tc>
        <w:tc>
          <w:tcPr>
            <w:tcW w:w="1804" w:type="dxa"/>
            <w:shd w:val="clear" w:color="auto" w:fill="DCE6F2"/>
          </w:tcPr>
          <w:p>
            <w:pPr>
              <w:pStyle w:val="Compact"/>
              <w:spacing w:after="20" w:before="20"/>
              <w:jc w:val="left"/>
            </w:pPr>
            <w:r>
              <w:rPr>
                <w:b/>
                <w:sz w:val="16"/>
              </w:rPr>
              <w:t xml:space="preserve">Tool</w:t>
            </w:r>
          </w:p>
        </w:tc>
        <w:tc>
          <w:tcPr>
            <w:tcW w:w="1904" w:type="dxa"/>
            <w:shd w:val="clear" w:color="auto" w:fill="DCE6F2"/>
          </w:tcPr>
          <w:p>
            <w:pPr>
              <w:pStyle w:val="Compact"/>
              <w:spacing w:after="20" w:before="20"/>
              <w:jc w:val="left"/>
            </w:pPr>
            <w:r>
              <w:rPr>
                <w:b/>
                <w:sz w:val="16"/>
              </w:rPr>
              <w:t xml:space="preserve">Task</w:t>
            </w:r>
          </w:p>
        </w:tc>
        <w:tc>
          <w:tcPr>
            <w:tcW w:w="4134" w:type="dxa"/>
            <w:shd w:val="clear" w:color="auto" w:fill="DCE6F2"/>
          </w:tcPr>
          <w:p>
            <w:pPr>
              <w:pStyle w:val="Compact"/>
              <w:spacing w:after="20" w:before="20"/>
              <w:jc w:val="left"/>
            </w:pPr>
            <w:r>
              <w:rPr>
                <w:b/>
                <w:sz w:val="16"/>
              </w:rPr>
              <w:t xml:space="preserve">Nature of use</w:t>
            </w:r>
          </w:p>
        </w:tc>
      </w:tr>
      <w:tr>
        <w:tc>
          <w:tcPr>
            <w:tcW w:w="974" w:type="dxa"/>
          </w:tcPr>
          <w:p>
            <w:pPr>
              <w:pStyle w:val="Compact"/>
              <w:spacing w:after="20" w:before="20"/>
              <w:jc w:val="left"/>
            </w:pPr>
            <w:r>
              <w:rPr>
                <w:sz w:val="16"/>
              </w:rPr>
              <w:t xml:space="preserve">1–3</w:t>
            </w:r>
          </w:p>
        </w:tc>
        <w:tc>
          <w:tcPr>
            <w:tcW w:w="974" w:type="dxa"/>
          </w:tcPr>
          <w:p>
            <w:pPr>
              <w:pStyle w:val="Compact"/>
              <w:spacing w:after="20" w:before="20"/>
              <w:jc w:val="left"/>
            </w:pPr>
            <w:r>
              <w:rPr>
                <w:sz w:val="16"/>
              </w:rPr>
              <w:t xml:space="preserve">9/13</w:t>
            </w:r>
          </w:p>
        </w:tc>
        <w:tc>
          <w:tcPr>
            <w:tcW w:w="1804" w:type="dxa"/>
          </w:tcPr>
          <w:p>
            <w:pPr>
              <w:pStyle w:val="Compact"/>
              <w:spacing w:after="20" w:before="20"/>
              <w:jc w:val="left"/>
            </w:pPr>
            <w:r>
              <w:rPr>
                <w:sz w:val="16"/>
              </w:rPr>
              <w:t xml:space="preserve">Claude (Anthropic)</w:t>
            </w:r>
          </w:p>
        </w:tc>
        <w:tc>
          <w:tcPr>
            <w:tcW w:w="1904" w:type="dxa"/>
          </w:tcPr>
          <w:p>
            <w:pPr>
              <w:pStyle w:val="Compact"/>
              <w:spacing w:after="20" w:before="20"/>
              <w:jc w:val="left"/>
            </w:pPr>
            <w:r>
              <w:rPr>
                <w:sz w:val="16"/>
              </w:rPr>
              <w:t xml:space="preserve">HS1 proposal</w:t>
            </w:r>
          </w:p>
        </w:tc>
        <w:tc>
          <w:tcPr>
            <w:tcW w:w="4134" w:type="dxa"/>
          </w:tcPr>
          <w:p>
            <w:pPr>
              <w:pStyle w:val="Compact"/>
              <w:spacing w:after="20" w:before="20"/>
              <w:jc w:val="left"/>
            </w:pPr>
            <w:r>
              <w:rPr>
                <w:sz w:val="16"/>
              </w:rPr>
              <w:t xml:space="preserve">As recorded in HS1 §1.2</w:t>
            </w:r>
          </w:p>
        </w:tc>
      </w:tr>
      <w:tr>
        <w:tc>
          <w:tcPr>
            <w:tcW w:w="974" w:type="dxa"/>
          </w:tcPr>
          <w:p>
            <w:pPr>
              <w:pStyle w:val="Compact"/>
              <w:spacing w:after="20" w:before="20"/>
              <w:jc w:val="left"/>
            </w:pPr>
            <w:r>
              <w:rPr>
                <w:sz w:val="16"/>
              </w:rPr>
              <w:t xml:space="preserve">4</w:t>
            </w:r>
          </w:p>
        </w:tc>
        <w:tc>
          <w:tcPr>
            <w:tcW w:w="974" w:type="dxa"/>
          </w:tcPr>
          <w:p>
            <w:pPr>
              <w:pStyle w:val="Compact"/>
              <w:spacing w:after="20" w:before="20"/>
              <w:jc w:val="left"/>
            </w:pPr>
            <w:r>
              <w:rPr>
                <w:sz w:val="16"/>
              </w:rPr>
              <w:t xml:space="preserve">9/27</w:t>
            </w:r>
          </w:p>
        </w:tc>
        <w:tc>
          <w:tcPr>
            <w:tcW w:w="1804" w:type="dxa"/>
          </w:tcPr>
          <w:p>
            <w:pPr>
              <w:pStyle w:val="Compact"/>
              <w:spacing w:after="20" w:before="20"/>
              <w:jc w:val="left"/>
            </w:pPr>
            <w:r>
              <w:rPr>
                <w:sz w:val="16"/>
              </w:rPr>
              <w:t xml:space="preserve">Claude (Anthropic)</w:t>
            </w:r>
          </w:p>
        </w:tc>
        <w:tc>
          <w:tcPr>
            <w:tcW w:w="1904" w:type="dxa"/>
          </w:tcPr>
          <w:p>
            <w:pPr>
              <w:pStyle w:val="Compact"/>
              <w:spacing w:after="20" w:before="20"/>
              <w:jc w:val="left"/>
            </w:pPr>
            <w:r>
              <w:rPr>
                <w:sz w:val="16"/>
              </w:rPr>
              <w:t xml:space="preserve">HS2 package structure</w:t>
            </w:r>
          </w:p>
        </w:tc>
        <w:tc>
          <w:tcPr>
            <w:tcW w:w="4134" w:type="dxa"/>
          </w:tcPr>
          <w:p>
            <w:pPr>
              <w:pStyle w:val="Compact"/>
              <w:spacing w:after="20" w:before="20"/>
              <w:jc w:val="left"/>
            </w:pPr>
            <w:r>
              <w:rPr>
                <w:sz w:val="16"/>
              </w:rPr>
              <w:t xml:space="preserve">Drafted section structure, tables and the week-by-week plan from my HS1 package</w:t>
            </w:r>
          </w:p>
        </w:tc>
      </w:tr>
      <w:tr>
        <w:tc>
          <w:tcPr>
            <w:tcW w:w="974" w:type="dxa"/>
          </w:tcPr>
          <w:p>
            <w:pPr>
              <w:pStyle w:val="Compact"/>
              <w:spacing w:after="20" w:before="20"/>
              <w:jc w:val="left"/>
            </w:pPr>
            <w:r>
              <w:rPr>
                <w:sz w:val="16"/>
              </w:rPr>
              <w:t xml:space="preserve">5</w:t>
            </w:r>
          </w:p>
        </w:tc>
        <w:tc>
          <w:tcPr>
            <w:tcW w:w="974" w:type="dxa"/>
          </w:tcPr>
          <w:p>
            <w:pPr>
              <w:pStyle w:val="Compact"/>
              <w:spacing w:after="20" w:before="20"/>
              <w:jc w:val="left"/>
            </w:pPr>
            <w:r>
              <w:rPr>
                <w:sz w:val="16"/>
              </w:rPr>
              <w:t xml:space="preserve">9/27</w:t>
            </w:r>
          </w:p>
        </w:tc>
        <w:tc>
          <w:tcPr>
            <w:tcW w:w="1804" w:type="dxa"/>
          </w:tcPr>
          <w:p>
            <w:pPr>
              <w:pStyle w:val="Compact"/>
              <w:spacing w:after="20" w:before="20"/>
              <w:jc w:val="left"/>
            </w:pPr>
            <w:r>
              <w:rPr>
                <w:sz w:val="16"/>
              </w:rPr>
              <w:t xml:space="preserve">Claude (Anthropic)</w:t>
            </w:r>
          </w:p>
        </w:tc>
        <w:tc>
          <w:tcPr>
            <w:tcW w:w="1904" w:type="dxa"/>
          </w:tcPr>
          <w:p>
            <w:pPr>
              <w:pStyle w:val="Compact"/>
              <w:spacing w:after="20" w:before="20"/>
              <w:jc w:val="left"/>
            </w:pPr>
            <w:r>
              <w:rPr>
                <w:sz w:val="16"/>
              </w:rPr>
              <w:t xml:space="preserve">Dependency verification</w:t>
            </w:r>
          </w:p>
        </w:tc>
        <w:tc>
          <w:tcPr>
            <w:tcW w:w="4134" w:type="dxa"/>
          </w:tcPr>
          <w:p>
            <w:pPr>
              <w:pStyle w:val="Compact"/>
              <w:spacing w:after="20" w:before="20"/>
              <w:jc w:val="left"/>
            </w:pPr>
            <w:r>
              <w:rPr>
                <w:sz w:val="16"/>
              </w:rPr>
              <w:t xml:space="preserve">Web lookups on UniBench provenance, graphql-core directive access and Hasura DDN local builds; findings cited in §14</w:t>
            </w:r>
          </w:p>
        </w:tc>
      </w:tr>
      <w:tr>
        <w:tc>
          <w:tcPr>
            <w:tcW w:w="974" w:type="dxa"/>
          </w:tcPr>
          <w:p>
            <w:pPr>
              <w:pStyle w:val="Compact"/>
              <w:spacing w:after="20" w:before="20"/>
              <w:jc w:val="left"/>
            </w:pPr>
            <w:r>
              <w:rPr>
                <w:sz w:val="16"/>
              </w:rPr>
              <w:t xml:space="preserve">6</w:t>
            </w:r>
          </w:p>
        </w:tc>
        <w:tc>
          <w:tcPr>
            <w:tcW w:w="974" w:type="dxa"/>
          </w:tcPr>
          <w:p>
            <w:pPr>
              <w:pStyle w:val="Compact"/>
              <w:spacing w:after="20" w:before="20"/>
              <w:jc w:val="left"/>
            </w:pPr>
            <w:r>
              <w:rPr>
                <w:sz w:val="16"/>
              </w:rPr>
              <w:t xml:space="preserve">9/27</w:t>
            </w:r>
          </w:p>
        </w:tc>
        <w:tc>
          <w:tcPr>
            <w:tcW w:w="1804" w:type="dxa"/>
          </w:tcPr>
          <w:p>
            <w:pPr>
              <w:pStyle w:val="Compact"/>
              <w:spacing w:after="20" w:before="20"/>
              <w:jc w:val="left"/>
            </w:pPr>
            <w:r>
              <w:rPr>
                <w:sz w:val="16"/>
              </w:rPr>
              <w:t xml:space="preserve">Claude (Anthropic)</w:t>
            </w:r>
          </w:p>
        </w:tc>
        <w:tc>
          <w:tcPr>
            <w:tcW w:w="1904" w:type="dxa"/>
          </w:tcPr>
          <w:p>
            <w:pPr>
              <w:pStyle w:val="Compact"/>
              <w:spacing w:after="20" w:before="20"/>
              <w:jc w:val="left"/>
            </w:pPr>
            <w:r>
              <w:rPr>
                <w:sz w:val="16"/>
              </w:rPr>
              <w:t xml:space="preserve">Method and pseudocode</w:t>
            </w:r>
          </w:p>
        </w:tc>
        <w:tc>
          <w:tcPr>
            <w:tcW w:w="4134" w:type="dxa"/>
          </w:tcPr>
          <w:p>
            <w:pPr>
              <w:pStyle w:val="Compact"/>
              <w:spacing w:after="20" w:before="20"/>
              <w:jc w:val="left"/>
            </w:pPr>
            <w:r>
              <w:rPr>
                <w:sz w:val="16"/>
              </w:rPr>
              <w:t xml:space="preserve">Drafted resolver, planner, bind-join and crossover-estimation pseudocode for my review</w:t>
            </w:r>
          </w:p>
        </w:tc>
      </w:tr>
      <w:tr>
        <w:tc>
          <w:tcPr>
            <w:tcW w:w="974" w:type="dxa"/>
          </w:tcPr>
          <w:p>
            <w:pPr>
              <w:pStyle w:val="Compact"/>
              <w:spacing w:after="20" w:before="20"/>
              <w:jc w:val="left"/>
            </w:pPr>
            <w:r>
              <w:rPr>
                <w:sz w:val="16"/>
              </w:rPr>
              <w:t xml:space="preserve">7</w:t>
            </w:r>
          </w:p>
        </w:tc>
        <w:tc>
          <w:tcPr>
            <w:tcW w:w="974" w:type="dxa"/>
          </w:tcPr>
          <w:p>
            <w:pPr>
              <w:pStyle w:val="Compact"/>
              <w:spacing w:after="20" w:before="20"/>
              <w:jc w:val="left"/>
            </w:pPr>
            <w:r>
              <w:rPr>
                <w:sz w:val="16"/>
              </w:rPr>
              <w:t xml:space="preserve">9/27</w:t>
            </w:r>
          </w:p>
        </w:tc>
        <w:tc>
          <w:tcPr>
            <w:tcW w:w="1804" w:type="dxa"/>
          </w:tcPr>
          <w:p>
            <w:pPr>
              <w:pStyle w:val="Compact"/>
              <w:spacing w:after="20" w:before="20"/>
              <w:jc w:val="left"/>
            </w:pPr>
            <w:r>
              <w:rPr>
                <w:sz w:val="16"/>
              </w:rPr>
              <w:t xml:space="preserve">Claude (Anthropic)</w:t>
            </w:r>
          </w:p>
        </w:tc>
        <w:tc>
          <w:tcPr>
            <w:tcW w:w="1904" w:type="dxa"/>
          </w:tcPr>
          <w:p>
            <w:pPr>
              <w:pStyle w:val="Compact"/>
              <w:spacing w:after="20" w:before="20"/>
              <w:jc w:val="left"/>
            </w:pPr>
            <w:r>
              <w:rPr>
                <w:sz w:val="16"/>
              </w:rPr>
              <w:t xml:space="preserve">Design risks</w:t>
            </w:r>
          </w:p>
        </w:tc>
        <w:tc>
          <w:tcPr>
            <w:tcW w:w="4134" w:type="dxa"/>
          </w:tcPr>
          <w:p>
            <w:pPr>
              <w:pStyle w:val="Compact"/>
              <w:spacing w:after="20" w:before="20"/>
              <w:jc w:val="left"/>
            </w:pPr>
            <w:r>
              <w:rPr>
                <w:sz w:val="16"/>
              </w:rPr>
              <w:t xml:space="preserve">Proposed the resource-parity and Python-overhead threats in §12, which I had not identified</w:t>
            </w:r>
          </w:p>
        </w:tc>
      </w:tr>
    </w:tbl>
    <w:p>
      <w:pPr>
        <w:pStyle w:val="BodyText"/>
      </w:pPr>
      <w:r>
        <w:rPr>
          <w:bCs/>
          <w:b/>
        </w:rPr>
        <w:t xml:space="preserve">Student review obligation.</w:t>
      </w:r>
      <w:r>
        <w:t xml:space="preserve"> </w:t>
      </w:r>
      <w:r>
        <w:t xml:space="preserve">Before submission I will re-derive every pseudocode block in §6, check each cited page in §14 myself, and revise any row above that understates what the assistant did.</w:t>
      </w:r>
    </w:p>
    <w:bookmarkEnd w:id="21"/>
    <w:bookmarkStart w:id="22" w:name="Xb2a22848c4fe43f003f768b2ec395d68ddb9e38"/>
    <w:p>
      <w:pPr>
        <w:pStyle w:val="Heading1"/>
      </w:pPr>
      <w:r>
        <w:t xml:space="preserve">2. Traceability: requirements to design to evidence</w:t>
      </w:r>
    </w:p>
    <w:p>
      <w:pPr>
        <w:pStyle w:val="FirstParagraph"/>
      </w:pPr>
      <w:r>
        <w:t xml:space="preserve">Every HS1 objective maps to at least one component below and every success criterion to a named test or measurement; no component exists that serves no criterion.</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988"/>
        <w:gridCol w:w="1108"/>
        <w:gridCol w:w="2732"/>
        <w:gridCol w:w="1746"/>
        <w:gridCol w:w="2217"/>
      </w:tblGrid>
      <w:tr>
        <w:trPr>
          <w:tblHeader w:val="true"/>
          <w:tblHeader w:val="true"/>
        </w:trPr>
        <w:tc>
          <w:tcPr>
            <w:tcW w:w="1988" w:type="dxa"/>
            <w:shd w:val="clear" w:color="auto" w:fill="DCE6F2"/>
          </w:tcPr>
          <w:p>
            <w:pPr>
              <w:pStyle w:val="Compact"/>
              <w:spacing w:after="20" w:before="20"/>
              <w:jc w:val="left"/>
            </w:pPr>
            <w:r>
              <w:rPr>
                <w:b/>
                <w:sz w:val="16"/>
              </w:rPr>
              <w:t xml:space="preserve">Objective</w:t>
            </w:r>
          </w:p>
        </w:tc>
        <w:tc>
          <w:tcPr>
            <w:tcW w:w="1108" w:type="dxa"/>
            <w:shd w:val="clear" w:color="auto" w:fill="DCE6F2"/>
          </w:tcPr>
          <w:p>
            <w:pPr>
              <w:pStyle w:val="Compact"/>
              <w:spacing w:after="20" w:before="20"/>
              <w:jc w:val="left"/>
            </w:pPr>
            <w:r>
              <w:rPr>
                <w:b/>
                <w:sz w:val="16"/>
              </w:rPr>
              <w:t xml:space="preserve">Criterion</w:t>
            </w:r>
          </w:p>
        </w:tc>
        <w:tc>
          <w:tcPr>
            <w:tcW w:w="2732" w:type="dxa"/>
            <w:shd w:val="clear" w:color="auto" w:fill="DCE6F2"/>
          </w:tcPr>
          <w:p>
            <w:pPr>
              <w:pStyle w:val="Compact"/>
              <w:spacing w:after="20" w:before="20"/>
              <w:jc w:val="left"/>
            </w:pPr>
            <w:r>
              <w:rPr>
                <w:b/>
                <w:sz w:val="16"/>
              </w:rPr>
              <w:t xml:space="preserve">Design element (§)</w:t>
            </w:r>
          </w:p>
        </w:tc>
        <w:tc>
          <w:tcPr>
            <w:tcW w:w="1746" w:type="dxa"/>
            <w:shd w:val="clear" w:color="auto" w:fill="DCE6F2"/>
          </w:tcPr>
          <w:p>
            <w:pPr>
              <w:pStyle w:val="Compact"/>
              <w:spacing w:after="20" w:before="20"/>
              <w:jc w:val="left"/>
            </w:pPr>
            <w:r>
              <w:rPr>
                <w:b/>
                <w:sz w:val="16"/>
              </w:rPr>
              <w:t xml:space="preserve">Verified by (§10 test ID)</w:t>
            </w:r>
          </w:p>
        </w:tc>
        <w:tc>
          <w:tcPr>
            <w:tcW w:w="2217" w:type="dxa"/>
            <w:shd w:val="clear" w:color="auto" w:fill="DCE6F2"/>
          </w:tcPr>
          <w:p>
            <w:pPr>
              <w:pStyle w:val="Compact"/>
              <w:spacing w:after="20" w:before="20"/>
              <w:jc w:val="left"/>
            </w:pPr>
            <w:r>
              <w:rPr>
                <w:b/>
                <w:sz w:val="16"/>
              </w:rPr>
              <w:t xml:space="preserve">Evidence artifact</w:t>
            </w:r>
          </w:p>
        </w:tc>
      </w:tr>
      <w:tr>
        <w:tc>
          <w:tcPr>
            <w:tcW w:w="1988" w:type="dxa"/>
          </w:tcPr>
          <w:p>
            <w:pPr>
              <w:pStyle w:val="Compact"/>
              <w:spacing w:after="20" w:before="20"/>
              <w:jc w:val="left"/>
            </w:pPr>
            <w:r>
              <w:rPr>
                <w:sz w:val="16"/>
              </w:rPr>
              <w:t xml:space="preserve">O1 annotation + resolver</w:t>
            </w:r>
          </w:p>
        </w:tc>
        <w:tc>
          <w:tcPr>
            <w:tcW w:w="1108" w:type="dxa"/>
          </w:tcPr>
          <w:p>
            <w:pPr>
              <w:pStyle w:val="Compact"/>
              <w:spacing w:after="20" w:before="20"/>
              <w:jc w:val="left"/>
            </w:pPr>
            <w:r>
              <w:rPr>
                <w:sz w:val="16"/>
              </w:rPr>
              <w:t xml:space="preserve">SC-2, SC-6</w:t>
            </w:r>
          </w:p>
        </w:tc>
        <w:tc>
          <w:tcPr>
            <w:tcW w:w="2732" w:type="dxa"/>
          </w:tcPr>
          <w:p>
            <w:pPr>
              <w:pStyle w:val="Compact"/>
              <w:spacing w:after="20" w:before="20"/>
              <w:jc w:val="left"/>
            </w:pPr>
            <w:r>
              <w:rPr>
                <w:sz w:val="16"/>
              </w:rPr>
              <w:t xml:space="preserve">Schema loader, placement resolver,</w:t>
            </w:r>
            <w:r>
              <w:rPr>
                <w:sz w:val="16"/>
              </w:rPr>
              <w:t xml:space="preserve"> </w:t>
            </w:r>
            <w:r>
              <w:rPr>
                <w:rStyle w:val="VerbatimChar"/>
                <w:sz w:val="16"/>
              </w:rPr>
              <w:t xml:space="preserve">@store</w:t>
            </w:r>
            <w:r>
              <w:rPr>
                <w:sz w:val="16"/>
              </w:rPr>
              <w:t xml:space="preserve">/</w:t>
            </w:r>
            <w:r>
              <w:rPr>
                <w:rStyle w:val="VerbatimChar"/>
                <w:sz w:val="16"/>
              </w:rPr>
              <w:t xml:space="preserve">@ref</w:t>
            </w:r>
            <w:r>
              <w:rPr>
                <w:sz w:val="16"/>
              </w:rPr>
              <w:t xml:space="preserve"> </w:t>
            </w:r>
            <w:r>
              <w:rPr>
                <w:sz w:val="16"/>
              </w:rPr>
              <w:t xml:space="preserve">(§4.1, §5.2)</w:t>
            </w:r>
          </w:p>
        </w:tc>
        <w:tc>
          <w:tcPr>
            <w:tcW w:w="1746" w:type="dxa"/>
          </w:tcPr>
          <w:p>
            <w:pPr>
              <w:pStyle w:val="Compact"/>
              <w:spacing w:after="20" w:before="20"/>
              <w:jc w:val="left"/>
            </w:pPr>
            <w:r>
              <w:rPr>
                <w:sz w:val="16"/>
              </w:rPr>
              <w:t xml:space="preserve">T-U1, T-U2, T-C1</w:t>
            </w:r>
          </w:p>
        </w:tc>
        <w:tc>
          <w:tcPr>
            <w:tcW w:w="2217" w:type="dxa"/>
          </w:tcPr>
          <w:p>
            <w:pPr>
              <w:pStyle w:val="Compact"/>
              <w:spacing w:after="20" w:before="20"/>
              <w:jc w:val="left"/>
            </w:pPr>
            <w:r>
              <w:rPr>
                <w:rStyle w:val="VerbatimChar"/>
                <w:sz w:val="16"/>
              </w:rPr>
              <w:t xml:space="preserve">tests/unit/test_resolver.py</w:t>
            </w:r>
            <w:r>
              <w:rPr>
                <w:sz w:val="16"/>
              </w:rPr>
              <w:t xml:space="preserve">, ADR-0003</w:t>
            </w:r>
          </w:p>
        </w:tc>
      </w:tr>
      <w:tr>
        <w:tc>
          <w:tcPr>
            <w:tcW w:w="1988" w:type="dxa"/>
          </w:tcPr>
          <w:p>
            <w:pPr>
              <w:pStyle w:val="Compact"/>
              <w:spacing w:after="20" w:before="20"/>
              <w:jc w:val="left"/>
            </w:pPr>
            <w:r>
              <w:rPr>
                <w:sz w:val="16"/>
              </w:rPr>
              <w:t xml:space="preserve">O2 two-backend read-only execution</w:t>
            </w:r>
          </w:p>
        </w:tc>
        <w:tc>
          <w:tcPr>
            <w:tcW w:w="1108" w:type="dxa"/>
          </w:tcPr>
          <w:p>
            <w:pPr>
              <w:pStyle w:val="Compact"/>
              <w:spacing w:after="20" w:before="20"/>
              <w:jc w:val="left"/>
            </w:pPr>
            <w:r>
              <w:rPr>
                <w:sz w:val="16"/>
              </w:rPr>
              <w:t xml:space="preserve">SC-1, SC-2</w:t>
            </w:r>
          </w:p>
        </w:tc>
        <w:tc>
          <w:tcPr>
            <w:tcW w:w="2732" w:type="dxa"/>
          </w:tcPr>
          <w:p>
            <w:pPr>
              <w:pStyle w:val="Compact"/>
              <w:spacing w:after="20" w:before="20"/>
              <w:jc w:val="left"/>
            </w:pPr>
            <w:r>
              <w:rPr>
                <w:sz w:val="16"/>
              </w:rPr>
              <w:t xml:space="preserve">Planner, executor, PG and Mongo adapters (§4.3–4.6)</w:t>
            </w:r>
          </w:p>
        </w:tc>
        <w:tc>
          <w:tcPr>
            <w:tcW w:w="1746" w:type="dxa"/>
          </w:tcPr>
          <w:p>
            <w:pPr>
              <w:pStyle w:val="Compact"/>
              <w:spacing w:after="20" w:before="20"/>
              <w:jc w:val="left"/>
            </w:pPr>
            <w:r>
              <w:rPr>
                <w:sz w:val="16"/>
              </w:rPr>
              <w:t xml:space="preserve">T-C1, T-I0</w:t>
            </w:r>
          </w:p>
        </w:tc>
        <w:tc>
          <w:tcPr>
            <w:tcW w:w="2217" w:type="dxa"/>
          </w:tcPr>
          <w:p>
            <w:pPr>
              <w:pStyle w:val="Compact"/>
              <w:spacing w:after="20" w:before="20"/>
              <w:jc w:val="left"/>
            </w:pPr>
            <w:r>
              <w:rPr>
                <w:sz w:val="16"/>
              </w:rPr>
              <w:t xml:space="preserve">Conformance report (operator × backend)</w:t>
            </w:r>
          </w:p>
        </w:tc>
      </w:tr>
      <w:tr>
        <w:tc>
          <w:tcPr>
            <w:tcW w:w="1988" w:type="dxa"/>
          </w:tcPr>
          <w:p>
            <w:pPr>
              <w:pStyle w:val="Compact"/>
              <w:spacing w:after="20" w:before="20"/>
              <w:jc w:val="left"/>
            </w:pPr>
            <w:r>
              <w:rPr>
                <w:sz w:val="16"/>
              </w:rPr>
              <w:t xml:space="preserve">O3 pushdown + bytes reduction</w:t>
            </w:r>
          </w:p>
        </w:tc>
        <w:tc>
          <w:tcPr>
            <w:tcW w:w="1108" w:type="dxa"/>
          </w:tcPr>
          <w:p>
            <w:pPr>
              <w:pStyle w:val="Compact"/>
              <w:spacing w:after="20" w:before="20"/>
              <w:jc w:val="left"/>
            </w:pPr>
            <w:r>
              <w:rPr>
                <w:sz w:val="16"/>
              </w:rPr>
              <w:t xml:space="preserve">SC-3</w:t>
            </w:r>
          </w:p>
        </w:tc>
        <w:tc>
          <w:tcPr>
            <w:tcW w:w="2732" w:type="dxa"/>
          </w:tcPr>
          <w:p>
            <w:pPr>
              <w:pStyle w:val="Compact"/>
              <w:spacing w:after="20" w:before="20"/>
              <w:jc w:val="left"/>
            </w:pPr>
            <w:r>
              <w:rPr>
                <w:sz w:val="16"/>
              </w:rPr>
              <w:t xml:space="preserve">Rewriter rules R1–R4, byte counters (§6.3, §6.5)</w:t>
            </w:r>
          </w:p>
        </w:tc>
        <w:tc>
          <w:tcPr>
            <w:tcW w:w="1746" w:type="dxa"/>
          </w:tcPr>
          <w:p>
            <w:pPr>
              <w:pStyle w:val="Compact"/>
              <w:spacing w:after="20" w:before="20"/>
              <w:jc w:val="left"/>
            </w:pPr>
            <w:r>
              <w:rPr>
                <w:sz w:val="16"/>
              </w:rPr>
              <w:t xml:space="preserve">T-U3, T-E2</w:t>
            </w:r>
          </w:p>
        </w:tc>
        <w:tc>
          <w:tcPr>
            <w:tcW w:w="2217" w:type="dxa"/>
          </w:tcPr>
          <w:p>
            <w:pPr>
              <w:pStyle w:val="Compact"/>
              <w:spacing w:after="20" w:before="20"/>
              <w:jc w:val="left"/>
            </w:pPr>
            <w:r>
              <w:rPr>
                <w:sz w:val="16"/>
              </w:rPr>
              <w:t xml:space="preserve">Paired A1/A4 byte table</w:t>
            </w:r>
          </w:p>
        </w:tc>
      </w:tr>
      <w:tr>
        <w:tc>
          <w:tcPr>
            <w:tcW w:w="1988" w:type="dxa"/>
          </w:tcPr>
          <w:p>
            <w:pPr>
              <w:pStyle w:val="Compact"/>
              <w:spacing w:after="20" w:before="20"/>
              <w:jc w:val="left"/>
            </w:pPr>
            <w:r>
              <w:rPr>
                <w:sz w:val="16"/>
              </w:rPr>
              <w:t xml:space="preserve">O4 differential oracle</w:t>
            </w:r>
          </w:p>
        </w:tc>
        <w:tc>
          <w:tcPr>
            <w:tcW w:w="1108" w:type="dxa"/>
          </w:tcPr>
          <w:p>
            <w:pPr>
              <w:pStyle w:val="Compact"/>
              <w:spacing w:after="20" w:before="20"/>
              <w:jc w:val="left"/>
            </w:pPr>
            <w:r>
              <w:rPr>
                <w:sz w:val="16"/>
              </w:rPr>
              <w:t xml:space="preserve">SC-1</w:t>
            </w:r>
          </w:p>
        </w:tc>
        <w:tc>
          <w:tcPr>
            <w:tcW w:w="2732" w:type="dxa"/>
          </w:tcPr>
          <w:p>
            <w:pPr>
              <w:pStyle w:val="Compact"/>
              <w:spacing w:after="20" w:before="20"/>
              <w:jc w:val="left"/>
            </w:pPr>
            <w:r>
              <w:rPr>
                <w:sz w:val="16"/>
              </w:rPr>
              <w:t xml:space="preserve">Oracle, consolidated mirror, reference SQL (§4.7)</w:t>
            </w:r>
          </w:p>
        </w:tc>
        <w:tc>
          <w:tcPr>
            <w:tcW w:w="1746" w:type="dxa"/>
          </w:tcPr>
          <w:p>
            <w:pPr>
              <w:pStyle w:val="Compact"/>
              <w:spacing w:after="20" w:before="20"/>
              <w:jc w:val="left"/>
            </w:pPr>
            <w:r>
              <w:rPr>
                <w:sz w:val="16"/>
              </w:rPr>
              <w:t xml:space="preserve">T-O1, T-P1</w:t>
            </w:r>
          </w:p>
        </w:tc>
        <w:tc>
          <w:tcPr>
            <w:tcW w:w="2217" w:type="dxa"/>
          </w:tcPr>
          <w:p>
            <w:pPr>
              <w:pStyle w:val="Compact"/>
              <w:spacing w:after="20" w:before="20"/>
              <w:jc w:val="left"/>
            </w:pPr>
            <w:r>
              <w:rPr>
                <w:sz w:val="16"/>
              </w:rPr>
              <w:t xml:space="preserve">CI oracle log per commit</w:t>
            </w:r>
          </w:p>
        </w:tc>
      </w:tr>
      <w:tr>
        <w:tc>
          <w:tcPr>
            <w:tcW w:w="1988" w:type="dxa"/>
          </w:tcPr>
          <w:p>
            <w:pPr>
              <w:pStyle w:val="Compact"/>
              <w:spacing w:after="20" w:before="20"/>
              <w:jc w:val="left"/>
            </w:pPr>
            <w:r>
              <w:rPr>
                <w:sz w:val="16"/>
              </w:rPr>
              <w:t xml:space="preserve">O5 benchmark harness</w:t>
            </w:r>
          </w:p>
        </w:tc>
        <w:tc>
          <w:tcPr>
            <w:tcW w:w="1108" w:type="dxa"/>
          </w:tcPr>
          <w:p>
            <w:pPr>
              <w:pStyle w:val="Compact"/>
              <w:spacing w:after="20" w:before="20"/>
              <w:jc w:val="left"/>
            </w:pPr>
            <w:r>
              <w:rPr>
                <w:sz w:val="16"/>
              </w:rPr>
              <w:t xml:space="preserve">SC-4, SC-9</w:t>
            </w:r>
          </w:p>
        </w:tc>
        <w:tc>
          <w:tcPr>
            <w:tcW w:w="2732" w:type="dxa"/>
          </w:tcPr>
          <w:p>
            <w:pPr>
              <w:pStyle w:val="Compact"/>
              <w:spacing w:after="20" w:before="20"/>
              <w:jc w:val="left"/>
            </w:pPr>
            <w:r>
              <w:rPr>
                <w:rStyle w:val="VerbatimChar"/>
                <w:sz w:val="16"/>
              </w:rPr>
              <w:t xml:space="preserve">bench/</w:t>
            </w:r>
            <w:r>
              <w:rPr>
                <w:sz w:val="16"/>
              </w:rPr>
              <w:t xml:space="preserve"> </w:t>
            </w:r>
            <w:r>
              <w:rPr>
                <w:sz w:val="16"/>
              </w:rPr>
              <w:t xml:space="preserve">runner, run manifest (§8.4, §10.3)</w:t>
            </w:r>
          </w:p>
        </w:tc>
        <w:tc>
          <w:tcPr>
            <w:tcW w:w="1746" w:type="dxa"/>
          </w:tcPr>
          <w:p>
            <w:pPr>
              <w:pStyle w:val="Compact"/>
              <w:spacing w:after="20" w:before="20"/>
              <w:jc w:val="left"/>
            </w:pPr>
            <w:r>
              <w:rPr>
                <w:sz w:val="16"/>
              </w:rPr>
              <w:t xml:space="preserve">T-H1, T-H2</w:t>
            </w:r>
          </w:p>
        </w:tc>
        <w:tc>
          <w:tcPr>
            <w:tcW w:w="2217" w:type="dxa"/>
          </w:tcPr>
          <w:p>
            <w:pPr>
              <w:pStyle w:val="Compact"/>
              <w:spacing w:after="20" w:before="20"/>
              <w:jc w:val="left"/>
            </w:pPr>
            <w:r>
              <w:rPr>
                <w:rStyle w:val="VerbatimChar"/>
                <w:sz w:val="16"/>
              </w:rPr>
              <w:t xml:space="preserve">bench/runs/&lt;run-id&gt;/manifest.json</w:t>
            </w:r>
          </w:p>
        </w:tc>
      </w:tr>
      <w:tr>
        <w:tc>
          <w:tcPr>
            <w:tcW w:w="1988" w:type="dxa"/>
          </w:tcPr>
          <w:p>
            <w:pPr>
              <w:pStyle w:val="Compact"/>
              <w:spacing w:after="20" w:before="20"/>
              <w:jc w:val="left"/>
            </w:pPr>
            <w:r>
              <w:rPr>
                <w:sz w:val="16"/>
              </w:rPr>
              <w:t xml:space="preserve">O6 crossover</w:t>
            </w:r>
          </w:p>
        </w:tc>
        <w:tc>
          <w:tcPr>
            <w:tcW w:w="1108" w:type="dxa"/>
          </w:tcPr>
          <w:p>
            <w:pPr>
              <w:pStyle w:val="Compact"/>
              <w:spacing w:after="20" w:before="20"/>
              <w:jc w:val="left"/>
            </w:pPr>
            <w:r>
              <w:rPr>
                <w:sz w:val="16"/>
              </w:rPr>
              <w:t xml:space="preserve">SC-5</w:t>
            </w:r>
          </w:p>
        </w:tc>
        <w:tc>
          <w:tcPr>
            <w:tcW w:w="2732" w:type="dxa"/>
          </w:tcPr>
          <w:p>
            <w:pPr>
              <w:pStyle w:val="Compact"/>
              <w:spacing w:after="20" w:before="20"/>
              <w:jc w:val="left"/>
            </w:pPr>
            <w:r>
              <w:rPr>
                <w:sz w:val="16"/>
              </w:rPr>
              <w:t xml:space="preserve">Selectivity-controlled sweep, crossover estimator (§6.6)</w:t>
            </w:r>
          </w:p>
        </w:tc>
        <w:tc>
          <w:tcPr>
            <w:tcW w:w="1746" w:type="dxa"/>
          </w:tcPr>
          <w:p>
            <w:pPr>
              <w:pStyle w:val="Compact"/>
              <w:spacing w:after="20" w:before="20"/>
              <w:jc w:val="left"/>
            </w:pPr>
            <w:r>
              <w:rPr>
                <w:sz w:val="16"/>
              </w:rPr>
              <w:t xml:space="preserve">T-E3</w:t>
            </w:r>
          </w:p>
        </w:tc>
        <w:tc>
          <w:tcPr>
            <w:tcW w:w="2217" w:type="dxa"/>
          </w:tcPr>
          <w:p>
            <w:pPr>
              <w:pStyle w:val="Compact"/>
              <w:spacing w:after="20" w:before="20"/>
              <w:jc w:val="left"/>
            </w:pPr>
            <w:r>
              <w:rPr>
                <w:sz w:val="16"/>
              </w:rPr>
              <w:t xml:space="preserve">Crossover plot + estimator output</w:t>
            </w:r>
          </w:p>
        </w:tc>
      </w:tr>
      <w:tr>
        <w:tc>
          <w:tcPr>
            <w:tcW w:w="1988" w:type="dxa"/>
          </w:tcPr>
          <w:p>
            <w:pPr>
              <w:pStyle w:val="Compact"/>
              <w:spacing w:after="20" w:before="20"/>
              <w:jc w:val="left"/>
            </w:pPr>
            <w:r>
              <w:rPr>
                <w:sz w:val="16"/>
              </w:rPr>
              <w:t xml:space="preserve">O7 configuration complexity</w:t>
            </w:r>
          </w:p>
        </w:tc>
        <w:tc>
          <w:tcPr>
            <w:tcW w:w="1108" w:type="dxa"/>
          </w:tcPr>
          <w:p>
            <w:pPr>
              <w:pStyle w:val="Compact"/>
              <w:spacing w:after="20" w:before="20"/>
              <w:jc w:val="left"/>
            </w:pPr>
            <w:r>
              <w:rPr>
                <w:sz w:val="16"/>
              </w:rPr>
              <w:t xml:space="preserve">SC-6</w:t>
            </w:r>
          </w:p>
        </w:tc>
        <w:tc>
          <w:tcPr>
            <w:tcW w:w="2732" w:type="dxa"/>
          </w:tcPr>
          <w:p>
            <w:pPr>
              <w:pStyle w:val="Compact"/>
              <w:spacing w:after="20" w:before="20"/>
              <w:jc w:val="left"/>
            </w:pPr>
            <w:r>
              <w:rPr>
                <w:sz w:val="16"/>
              </w:rPr>
              <w:t xml:space="preserve">Fixed task, counting protocol (§10.4)</w:t>
            </w:r>
          </w:p>
        </w:tc>
        <w:tc>
          <w:tcPr>
            <w:tcW w:w="1746" w:type="dxa"/>
          </w:tcPr>
          <w:p>
            <w:pPr>
              <w:pStyle w:val="Compact"/>
              <w:spacing w:after="20" w:before="20"/>
              <w:jc w:val="left"/>
            </w:pPr>
            <w:r>
              <w:rPr>
                <w:sz w:val="16"/>
              </w:rPr>
              <w:t xml:space="preserve">T-E4</w:t>
            </w:r>
          </w:p>
        </w:tc>
        <w:tc>
          <w:tcPr>
            <w:tcW w:w="2217" w:type="dxa"/>
          </w:tcPr>
          <w:p>
            <w:pPr>
              <w:pStyle w:val="Compact"/>
              <w:spacing w:after="20" w:before="20"/>
              <w:jc w:val="left"/>
            </w:pPr>
            <w:r>
              <w:rPr>
                <w:rStyle w:val="VerbatimChar"/>
                <w:sz w:val="16"/>
              </w:rPr>
              <w:t xml:space="preserve">eval/complexity/PROTOCOL.md</w:t>
            </w:r>
            <w:r>
              <w:rPr>
                <w:sz w:val="16"/>
              </w:rPr>
              <w:t xml:space="preserve"> </w:t>
            </w:r>
            <w:r>
              <w:rPr>
                <w:sz w:val="16"/>
              </w:rPr>
              <w:t xml:space="preserve">+ counts</w:t>
            </w:r>
          </w:p>
        </w:tc>
      </w:tr>
      <w:tr>
        <w:tc>
          <w:tcPr>
            <w:tcW w:w="1988" w:type="dxa"/>
          </w:tcPr>
          <w:p>
            <w:pPr>
              <w:pStyle w:val="Compact"/>
              <w:spacing w:after="20" w:before="20"/>
              <w:jc w:val="left"/>
            </w:pPr>
            <w:r>
              <w:rPr>
                <w:sz w:val="16"/>
              </w:rPr>
              <w:t xml:space="preserve">O8 report + reproducibility</w:t>
            </w:r>
          </w:p>
        </w:tc>
        <w:tc>
          <w:tcPr>
            <w:tcW w:w="1108" w:type="dxa"/>
          </w:tcPr>
          <w:p>
            <w:pPr>
              <w:pStyle w:val="Compact"/>
              <w:spacing w:after="20" w:before="20"/>
              <w:jc w:val="left"/>
            </w:pPr>
            <w:r>
              <w:rPr>
                <w:sz w:val="16"/>
              </w:rPr>
              <w:t xml:space="preserve">SC-9</w:t>
            </w:r>
          </w:p>
        </w:tc>
        <w:tc>
          <w:tcPr>
            <w:tcW w:w="2732" w:type="dxa"/>
          </w:tcPr>
          <w:p>
            <w:pPr>
              <w:pStyle w:val="Compact"/>
              <w:spacing w:after="20" w:before="20"/>
              <w:jc w:val="left"/>
            </w:pPr>
            <w:r>
              <w:rPr>
                <w:sz w:val="16"/>
              </w:rPr>
              <w:t xml:space="preserve">One-command</w:t>
            </w:r>
            <w:r>
              <w:rPr>
                <w:sz w:val="16"/>
              </w:rPr>
              <w:t xml:space="preserve"> </w:t>
            </w:r>
            <w:r>
              <w:rPr>
                <w:rStyle w:val="VerbatimChar"/>
                <w:sz w:val="16"/>
              </w:rPr>
              <w:t xml:space="preserve">make reproduce</w:t>
            </w:r>
            <w:r>
              <w:rPr>
                <w:sz w:val="16"/>
              </w:rPr>
              <w:t xml:space="preserve"> </w:t>
            </w:r>
            <w:r>
              <w:rPr>
                <w:sz w:val="16"/>
              </w:rPr>
              <w:t xml:space="preserve">(§8.4)</w:t>
            </w:r>
          </w:p>
        </w:tc>
        <w:tc>
          <w:tcPr>
            <w:tcW w:w="1746" w:type="dxa"/>
          </w:tcPr>
          <w:p>
            <w:pPr>
              <w:pStyle w:val="Compact"/>
              <w:spacing w:after="20" w:before="20"/>
              <w:jc w:val="left"/>
            </w:pPr>
            <w:r>
              <w:rPr>
                <w:sz w:val="16"/>
              </w:rPr>
              <w:t xml:space="preserve">T-H3 (clean-machine rehearsal)</w:t>
            </w:r>
          </w:p>
        </w:tc>
        <w:tc>
          <w:tcPr>
            <w:tcW w:w="2217" w:type="dxa"/>
          </w:tcPr>
          <w:p>
            <w:pPr>
              <w:pStyle w:val="Compact"/>
              <w:spacing w:after="20" w:before="20"/>
              <w:jc w:val="left"/>
            </w:pPr>
            <w:r>
              <w:rPr>
                <w:sz w:val="16"/>
              </w:rPr>
              <w:t xml:space="preserve">Rehearsal log, M9</w:t>
            </w:r>
          </w:p>
        </w:tc>
      </w:tr>
      <w:tr>
        <w:tc>
          <w:tcPr>
            <w:tcW w:w="1988" w:type="dxa"/>
          </w:tcPr>
          <w:p>
            <w:pPr>
              <w:pStyle w:val="Compact"/>
              <w:spacing w:after="20" w:before="20"/>
              <w:jc w:val="left"/>
            </w:pPr>
            <w:r>
              <w:rPr>
                <w:sz w:val="16"/>
              </w:rPr>
              <w:t xml:space="preserve">— quality</w:t>
            </w:r>
          </w:p>
        </w:tc>
        <w:tc>
          <w:tcPr>
            <w:tcW w:w="1108" w:type="dxa"/>
          </w:tcPr>
          <w:p>
            <w:pPr>
              <w:pStyle w:val="Compact"/>
              <w:spacing w:after="20" w:before="20"/>
              <w:jc w:val="left"/>
            </w:pPr>
            <w:r>
              <w:rPr>
                <w:sz w:val="16"/>
              </w:rPr>
              <w:t xml:space="preserve">SC-7, SC-8</w:t>
            </w:r>
          </w:p>
        </w:tc>
        <w:tc>
          <w:tcPr>
            <w:tcW w:w="2732" w:type="dxa"/>
          </w:tcPr>
          <w:p>
            <w:pPr>
              <w:pStyle w:val="Compact"/>
              <w:spacing w:after="20" w:before="20"/>
              <w:jc w:val="left"/>
            </w:pPr>
            <w:r>
              <w:rPr>
                <w:sz w:val="16"/>
              </w:rPr>
              <w:t xml:space="preserve">Issue severity labels,</w:t>
            </w:r>
            <w:r>
              <w:rPr>
                <w:sz w:val="16"/>
              </w:rPr>
              <w:t xml:space="preserve"> </w:t>
            </w:r>
            <w:r>
              <w:rPr>
                <w:rStyle w:val="VerbatimChar"/>
                <w:sz w:val="16"/>
              </w:rPr>
              <w:t xml:space="preserve">pytest --cov</w:t>
            </w:r>
            <w:r>
              <w:rPr>
                <w:sz w:val="16"/>
              </w:rPr>
              <w:t xml:space="preserve"> </w:t>
            </w:r>
            <w:r>
              <w:rPr>
                <w:sz w:val="16"/>
              </w:rPr>
              <w:t xml:space="preserve">gates (§10.1)</w:t>
            </w:r>
          </w:p>
        </w:tc>
        <w:tc>
          <w:tcPr>
            <w:tcW w:w="1746" w:type="dxa"/>
          </w:tcPr>
          <w:p>
            <w:pPr>
              <w:pStyle w:val="Compact"/>
              <w:spacing w:after="20" w:before="20"/>
              <w:jc w:val="left"/>
            </w:pPr>
            <w:r>
              <w:rPr>
                <w:sz w:val="16"/>
              </w:rPr>
              <w:t xml:space="preserve">CI gates</w:t>
            </w:r>
          </w:p>
        </w:tc>
        <w:tc>
          <w:tcPr>
            <w:tcW w:w="2217" w:type="dxa"/>
          </w:tcPr>
          <w:p>
            <w:pPr>
              <w:pStyle w:val="Compact"/>
              <w:spacing w:after="20" w:before="20"/>
              <w:jc w:val="left"/>
            </w:pPr>
            <w:r>
              <w:rPr>
                <w:sz w:val="16"/>
              </w:rPr>
              <w:t xml:space="preserve">Coverage report, triage record</w:t>
            </w:r>
          </w:p>
        </w:tc>
      </w:tr>
      <w:tr>
        <w:tc>
          <w:tcPr>
            <w:tcW w:w="1988" w:type="dxa"/>
          </w:tcPr>
          <w:p>
            <w:pPr>
              <w:pStyle w:val="Compact"/>
              <w:spacing w:after="20" w:before="20"/>
              <w:jc w:val="left"/>
            </w:pPr>
            <w:r>
              <w:rPr>
                <w:sz w:val="16"/>
              </w:rPr>
              <w:t xml:space="preserve">— acceptance</w:t>
            </w:r>
          </w:p>
        </w:tc>
        <w:tc>
          <w:tcPr>
            <w:tcW w:w="1108" w:type="dxa"/>
          </w:tcPr>
          <w:p>
            <w:pPr>
              <w:pStyle w:val="Compact"/>
              <w:spacing w:after="20" w:before="20"/>
              <w:jc w:val="left"/>
            </w:pPr>
            <w:r>
              <w:rPr>
                <w:sz w:val="16"/>
              </w:rPr>
              <w:t xml:space="preserve">SC-10</w:t>
            </w:r>
          </w:p>
        </w:tc>
        <w:tc>
          <w:tcPr>
            <w:tcW w:w="2732" w:type="dxa"/>
          </w:tcPr>
          <w:p>
            <w:pPr>
              <w:pStyle w:val="Compact"/>
              <w:spacing w:after="20" w:before="20"/>
              <w:jc w:val="left"/>
            </w:pPr>
            <w:r>
              <w:rPr>
                <w:sz w:val="16"/>
              </w:rPr>
              <w:t xml:space="preserve">Decision records (§13)</w:t>
            </w:r>
          </w:p>
        </w:tc>
        <w:tc>
          <w:tcPr>
            <w:tcW w:w="1746" w:type="dxa"/>
          </w:tcPr>
          <w:p>
            <w:pPr>
              <w:pStyle w:val="Compact"/>
              <w:spacing w:after="20" w:before="20"/>
              <w:jc w:val="left"/>
            </w:pPr>
            <w:r>
              <w:rPr>
                <w:sz w:val="16"/>
              </w:rPr>
              <w:t xml:space="preserve">Supervisor sign-off</w:t>
            </w:r>
          </w:p>
        </w:tc>
        <w:tc>
          <w:tcPr>
            <w:tcW w:w="2217" w:type="dxa"/>
          </w:tcPr>
          <w:p>
            <w:pPr>
              <w:pStyle w:val="Compact"/>
              <w:spacing w:after="20" w:before="20"/>
              <w:jc w:val="left"/>
            </w:pPr>
            <w:r>
              <w:rPr>
                <w:rStyle w:val="VerbatimChar"/>
                <w:sz w:val="16"/>
              </w:rPr>
              <w:t xml:space="preserve">docs/decisions/</w:t>
            </w:r>
          </w:p>
        </w:tc>
      </w:tr>
    </w:tbl>
    <w:bookmarkEnd w:id="22"/>
    <w:bookmarkStart w:id="35" w:name="architecture-views"/>
    <w:p>
      <w:pPr>
        <w:pStyle w:val="Heading1"/>
      </w:pPr>
      <w:r>
        <w:t xml:space="preserve">3. Architecture views</w:t>
      </w:r>
    </w:p>
    <w:p>
      <w:pPr>
        <w:pStyle w:val="FirstParagraph"/>
      </w:pPr>
      <w:r>
        <w:t xml:space="preserve">The engine is one Python process with six components; the only thing that changes between the federated and consolidated configurations is the placement map produced from the schema.</w:t>
      </w:r>
    </w:p>
    <w:bookmarkStart w:id="26" w:name="Xe4d030c430062b2145757e21e430e2332dc7443"/>
    <w:p>
      <w:pPr>
        <w:pStyle w:val="Heading2"/>
      </w:pPr>
      <w:r>
        <w:t xml:space="preserve">3.1 Container and component view (C4 levels 2–3)</w:t>
      </w:r>
    </w:p>
    <w:p>
      <w:pPr>
        <w:pStyle w:val="CaptionedFigure"/>
      </w:pPr>
      <w:r>
        <w:drawing>
          <wp:inline>
            <wp:extent cx="4206240" cy="6302326"/>
            <wp:effectExtent b="0" l="0" r="0" t="0"/>
            <wp:docPr descr="Figure 1. Component view: engine, adapters, stores and oracle. Placement is read from the schema, and every answer is checked." title="" id="24" name="Picture"/>
            <a:graphic>
              <a:graphicData uri="http://schemas.openxmlformats.org/drawingml/2006/picture">
                <pic:pic>
                  <pic:nvPicPr>
                    <pic:cNvPr descr="img/arch.png" id="25" name="Picture"/>
                    <pic:cNvPicPr>
                      <a:picLocks noChangeArrowheads="1" noChangeAspect="1"/>
                    </pic:cNvPicPr>
                  </pic:nvPicPr>
                  <pic:blipFill>
                    <a:blip r:embed="rId23"/>
                    <a:stretch>
                      <a:fillRect/>
                    </a:stretch>
                  </pic:blipFill>
                  <pic:spPr bwMode="auto">
                    <a:xfrm>
                      <a:off x="0" y="0"/>
                      <a:ext cx="4206240" cy="6302326"/>
                    </a:xfrm>
                    <a:prstGeom prst="rect">
                      <a:avLst/>
                    </a:prstGeom>
                    <a:noFill/>
                    <a:ln w="9525">
                      <a:noFill/>
                      <a:headEnd/>
                      <a:tailEnd/>
                    </a:ln>
                  </pic:spPr>
                </pic:pic>
              </a:graphicData>
            </a:graphic>
          </wp:inline>
        </w:drawing>
      </w:r>
    </w:p>
    <w:p>
      <w:pPr>
        <w:pStyle w:val="ImageCaption"/>
      </w:pPr>
      <w:r>
        <w:t xml:space="preserve">Figure 1. Component view: engine, adapters, stores and oracle. Placement is read from the schema, and every answer is checked.</w:t>
      </w:r>
    </w:p>
    <w:p>
      <w:pPr>
        <w:pStyle w:val="BodyText"/>
      </w:pPr>
      <w:r>
        <w:t xml:space="preserve">The resolver (highlighted) turns schema directives into a placement map at load time; everything below it runs per query. Redis and Neo4j adapters (extensions E-3, E-4) slot in beside the two shown without changing any other component.</w:t>
      </w:r>
    </w:p>
    <w:bookmarkEnd w:id="26"/>
    <w:bookmarkStart w:id="30" w:name="X04018d68f5c4cf10d6119c1b37f1b0e7f0419be"/>
    <w:p>
      <w:pPr>
        <w:pStyle w:val="Heading2"/>
      </w:pPr>
      <w:r>
        <w:t xml:space="preserve">3.2 Sequence view: one two-store query with pushdown (arm A1)</w:t>
      </w:r>
    </w:p>
    <w:p>
      <w:pPr>
        <w:pStyle w:val="CaptionedFigure"/>
      </w:pPr>
      <w:r>
        <w:drawing>
          <wp:inline>
            <wp:extent cx="5334000" cy="2088696"/>
            <wp:effectExtent b="0" l="0" r="0" t="0"/>
            <wp:docPr descr="Figure 2. Sequence of one two-store query under arm A1 (pushdown on)." title="" id="28" name="Picture"/>
            <a:graphic>
              <a:graphicData uri="http://schemas.openxmlformats.org/drawingml/2006/picture">
                <pic:pic>
                  <pic:nvPicPr>
                    <pic:cNvPr descr="img/seq.png" id="29" name="Picture"/>
                    <pic:cNvPicPr>
                      <a:picLocks noChangeArrowheads="1" noChangeAspect="1"/>
                    </pic:cNvPicPr>
                  </pic:nvPicPr>
                  <pic:blipFill>
                    <a:blip r:embed="rId27"/>
                    <a:stretch>
                      <a:fillRect/>
                    </a:stretch>
                  </pic:blipFill>
                  <pic:spPr bwMode="auto">
                    <a:xfrm>
                      <a:off x="0" y="0"/>
                      <a:ext cx="5334000" cy="2088696"/>
                    </a:xfrm>
                    <a:prstGeom prst="rect">
                      <a:avLst/>
                    </a:prstGeom>
                    <a:noFill/>
                    <a:ln w="9525">
                      <a:noFill/>
                      <a:headEnd/>
                      <a:tailEnd/>
                    </a:ln>
                  </pic:spPr>
                </pic:pic>
              </a:graphicData>
            </a:graphic>
          </wp:inline>
        </w:drawing>
      </w:r>
    </w:p>
    <w:p>
      <w:pPr>
        <w:pStyle w:val="ImageCaption"/>
      </w:pPr>
      <w:r>
        <w:t xml:space="preserve">Figure 2. Sequence of one two-store query under arm A1 (pushdown on).</w:t>
      </w:r>
    </w:p>
    <w:p>
      <w:pPr>
        <w:pStyle w:val="BodyText"/>
      </w:pPr>
      <w:r>
        <w:t xml:space="preserve">Arm A4 (pushdown off) runs the same plan with R1–R3 disabled, so both backends return full collections. Arm A3 skips the engine and runs hand-written full fetches plus a Python loop join.</w:t>
      </w:r>
    </w:p>
    <w:bookmarkEnd w:id="30"/>
    <w:bookmarkStart w:id="34" w:name="deployment-view-single-host"/>
    <w:p>
      <w:pPr>
        <w:pStyle w:val="Heading2"/>
      </w:pPr>
      <w:r>
        <w:t xml:space="preserve">3.3 Deployment view (single host)</w:t>
      </w:r>
    </w:p>
    <w:p>
      <w:pPr>
        <w:pStyle w:val="CaptionedFigure"/>
      </w:pPr>
      <w:r>
        <w:drawing>
          <wp:inline>
            <wp:extent cx="5334000" cy="2140214"/>
            <wp:effectExtent b="0" l="0" r="0" t="0"/>
            <wp:docPr descr="Figure 3. Deployment view on one laptop. Dashed lines: Hasura services, used only for SC-6 and E-6." title="" id="32" name="Picture"/>
            <a:graphic>
              <a:graphicData uri="http://schemas.openxmlformats.org/drawingml/2006/picture">
                <pic:pic>
                  <pic:nvPicPr>
                    <pic:cNvPr descr="img/deploy.png" id="33" name="Picture"/>
                    <pic:cNvPicPr>
                      <a:picLocks noChangeArrowheads="1" noChangeAspect="1"/>
                    </pic:cNvPicPr>
                  </pic:nvPicPr>
                  <pic:blipFill>
                    <a:blip r:embed="rId31"/>
                    <a:stretch>
                      <a:fillRect/>
                    </a:stretch>
                  </pic:blipFill>
                  <pic:spPr bwMode="auto">
                    <a:xfrm>
                      <a:off x="0" y="0"/>
                      <a:ext cx="5334000" cy="2140214"/>
                    </a:xfrm>
                    <a:prstGeom prst="rect">
                      <a:avLst/>
                    </a:prstGeom>
                    <a:noFill/>
                    <a:ln w="9525">
                      <a:noFill/>
                      <a:headEnd/>
                      <a:tailEnd/>
                    </a:ln>
                  </pic:spPr>
                </pic:pic>
              </a:graphicData>
            </a:graphic>
          </wp:inline>
        </w:drawing>
      </w:r>
    </w:p>
    <w:p>
      <w:pPr>
        <w:pStyle w:val="ImageCaption"/>
      </w:pPr>
      <w:r>
        <w:t xml:space="preserve">Figure 3. Deployment view on one laptop. Dashed lines: Hasura services, used only for SC-6 and E-6.</w:t>
      </w:r>
    </w:p>
    <w:p>
      <w:pPr>
        <w:pStyle w:val="BodyText"/>
      </w:pPr>
      <w:r>
        <w:t xml:space="preserve">Every database container gets identical CPU and memory limits (§8.3 explains why the federated pair does not simply get double the resources). The Hasura services are stopped during timing runs of arms A1–A4.</w:t>
      </w:r>
    </w:p>
    <w:bookmarkEnd w:id="34"/>
    <w:bookmarkEnd w:id="35"/>
    <w:bookmarkStart w:id="37" w:name="component-and-interface-specifications"/>
    <w:p>
      <w:pPr>
        <w:pStyle w:val="Heading1"/>
      </w:pPr>
      <w:r>
        <w:t xml:space="preserve">4. Component and interface specifications</w:t>
      </w:r>
    </w:p>
    <w:p>
      <w:pPr>
        <w:pStyle w:val="FirstParagraph"/>
      </w:pPr>
      <w:r>
        <w:t xml:space="preserve">Each component has one responsibility, a typed interface, and its own test file; components talk only through the dataclasses named here.</w:t>
      </w:r>
    </w:p>
    <w:tbl>
      <w:tblPr>
        <w:tblStyle w:val="Table"/>
        <w:tblLook w:firstRow="1" w:lastRow="0" w:firstColumn="0" w:lastColumn="0" w:noHBand="0" w:noVBand="0" w:val="0020"/>
        <w:jc w:val="start"/>
        <w:tblW w:w="9788"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539"/>
        <w:gridCol w:w="1157"/>
        <w:gridCol w:w="889"/>
        <w:gridCol w:w="2269"/>
        <w:gridCol w:w="1222"/>
        <w:gridCol w:w="1582"/>
        <w:gridCol w:w="2130"/>
      </w:tblGrid>
      <w:tr>
        <w:trPr>
          <w:tblHeader w:val="true"/>
          <w:tblHeader w:val="true"/>
        </w:trPr>
        <w:tc>
          <w:tcPr>
            <w:tcW w:w="539" w:type="dxa"/>
            <w:shd w:val="clear" w:color="auto" w:fill="DCE6F2"/>
          </w:tcPr>
          <w:p>
            <w:pPr>
              <w:pStyle w:val="Compact"/>
              <w:spacing w:after="20" w:before="20"/>
              <w:jc w:val="left"/>
            </w:pPr>
            <w:r>
              <w:rPr>
                <w:b/>
                <w:sz w:val="15"/>
              </w:rPr>
              <w:t xml:space="preserve">#</w:t>
            </w:r>
          </w:p>
        </w:tc>
        <w:tc>
          <w:tcPr>
            <w:tcW w:w="1157" w:type="dxa"/>
            <w:shd w:val="clear" w:color="auto" w:fill="DCE6F2"/>
          </w:tcPr>
          <w:p>
            <w:pPr>
              <w:pStyle w:val="Compact"/>
              <w:spacing w:after="20" w:before="20"/>
              <w:jc w:val="left"/>
            </w:pPr>
            <w:r>
              <w:rPr>
                <w:b/>
                <w:sz w:val="15"/>
              </w:rPr>
              <w:t xml:space="preserve">Component</w:t>
            </w:r>
          </w:p>
        </w:tc>
        <w:tc>
          <w:tcPr>
            <w:tcW w:w="889" w:type="dxa"/>
            <w:shd w:val="clear" w:color="auto" w:fill="DCE6F2"/>
          </w:tcPr>
          <w:p>
            <w:pPr>
              <w:pStyle w:val="Compact"/>
              <w:spacing w:after="20" w:before="20"/>
              <w:jc w:val="left"/>
            </w:pPr>
            <w:r>
              <w:rPr>
                <w:b/>
                <w:sz w:val="15"/>
              </w:rPr>
              <w:t xml:space="preserve">Module</w:t>
            </w:r>
          </w:p>
        </w:tc>
        <w:tc>
          <w:tcPr>
            <w:tcW w:w="2269" w:type="dxa"/>
            <w:shd w:val="clear" w:color="auto" w:fill="DCE6F2"/>
          </w:tcPr>
          <w:p>
            <w:pPr>
              <w:pStyle w:val="Compact"/>
              <w:spacing w:after="20" w:before="20"/>
              <w:jc w:val="left"/>
            </w:pPr>
            <w:r>
              <w:rPr>
                <w:b/>
                <w:sz w:val="15"/>
              </w:rPr>
              <w:t xml:space="preserve">Responsibility</w:t>
            </w:r>
          </w:p>
        </w:tc>
        <w:tc>
          <w:tcPr>
            <w:tcW w:w="1222" w:type="dxa"/>
            <w:shd w:val="clear" w:color="auto" w:fill="DCE6F2"/>
          </w:tcPr>
          <w:p>
            <w:pPr>
              <w:pStyle w:val="Compact"/>
              <w:spacing w:after="20" w:before="20"/>
              <w:jc w:val="left"/>
            </w:pPr>
            <w:r>
              <w:rPr>
                <w:b/>
                <w:sz w:val="15"/>
              </w:rPr>
              <w:t xml:space="preserve">Consumes</w:t>
            </w:r>
          </w:p>
        </w:tc>
        <w:tc>
          <w:tcPr>
            <w:tcW w:w="1582" w:type="dxa"/>
            <w:shd w:val="clear" w:color="auto" w:fill="DCE6F2"/>
          </w:tcPr>
          <w:p>
            <w:pPr>
              <w:pStyle w:val="Compact"/>
              <w:spacing w:after="20" w:before="20"/>
              <w:jc w:val="left"/>
            </w:pPr>
            <w:r>
              <w:rPr>
                <w:b/>
                <w:sz w:val="15"/>
              </w:rPr>
              <w:t xml:space="preserve">Produces</w:t>
            </w:r>
          </w:p>
        </w:tc>
        <w:tc>
          <w:tcPr>
            <w:tcW w:w="2130" w:type="dxa"/>
            <w:shd w:val="clear" w:color="auto" w:fill="DCE6F2"/>
          </w:tcPr>
          <w:p>
            <w:pPr>
              <w:pStyle w:val="Compact"/>
              <w:spacing w:after="20" w:before="20"/>
              <w:jc w:val="left"/>
            </w:pPr>
            <w:r>
              <w:rPr>
                <w:b/>
                <w:sz w:val="15"/>
              </w:rPr>
              <w:t xml:space="preserve">Failure behaviour</w:t>
            </w:r>
          </w:p>
        </w:tc>
      </w:tr>
      <w:tr>
        <w:tc>
          <w:tcPr>
            <w:tcW w:w="539" w:type="dxa"/>
          </w:tcPr>
          <w:p>
            <w:pPr>
              <w:pStyle w:val="Compact"/>
              <w:spacing w:after="20" w:before="20"/>
              <w:jc w:val="left"/>
            </w:pPr>
            <w:r>
              <w:rPr>
                <w:sz w:val="15"/>
              </w:rPr>
              <w:t xml:space="preserve">4.1</w:t>
            </w:r>
          </w:p>
        </w:tc>
        <w:tc>
          <w:tcPr>
            <w:tcW w:w="1157" w:type="dxa"/>
          </w:tcPr>
          <w:p>
            <w:pPr>
              <w:pStyle w:val="Compact"/>
              <w:spacing w:after="20" w:before="20"/>
              <w:jc w:val="left"/>
            </w:pPr>
            <w:r>
              <w:rPr>
                <w:sz w:val="15"/>
              </w:rPr>
              <w:t xml:space="preserve">Schema loader + placement resolver</w:t>
            </w:r>
          </w:p>
        </w:tc>
        <w:tc>
          <w:tcPr>
            <w:tcW w:w="889" w:type="dxa"/>
          </w:tcPr>
          <w:p>
            <w:pPr>
              <w:pStyle w:val="Compact"/>
              <w:spacing w:after="20" w:before="20"/>
              <w:jc w:val="left"/>
            </w:pPr>
            <w:r>
              <w:rPr>
                <w:rStyle w:val="VerbatimChar"/>
                <w:sz w:val="15"/>
              </w:rPr>
              <w:t xml:space="preserve">engine/schema/</w:t>
            </w:r>
          </w:p>
        </w:tc>
        <w:tc>
          <w:tcPr>
            <w:tcW w:w="2269" w:type="dxa"/>
          </w:tcPr>
          <w:p>
            <w:pPr>
              <w:pStyle w:val="Compact"/>
              <w:spacing w:after="20" w:before="20"/>
              <w:jc w:val="left"/>
            </w:pPr>
            <w:r>
              <w:rPr>
                <w:sz w:val="15"/>
              </w:rPr>
              <w:t xml:space="preserve">Parse SDL, read</w:t>
            </w:r>
            <w:r>
              <w:rPr>
                <w:sz w:val="15"/>
              </w:rPr>
              <w:t xml:space="preserve"> </w:t>
            </w:r>
            <w:r>
              <w:rPr>
                <w:rStyle w:val="VerbatimChar"/>
                <w:sz w:val="15"/>
              </w:rPr>
              <w:t xml:space="preserve">@store</w:t>
            </w:r>
            <w:r>
              <w:rPr>
                <w:sz w:val="15"/>
              </w:rPr>
              <w:t xml:space="preserve"> </w:t>
            </w:r>
            <w:r>
              <w:rPr>
                <w:sz w:val="15"/>
              </w:rPr>
              <w:t xml:space="preserve">/</w:t>
            </w:r>
            <w:r>
              <w:rPr>
                <w:sz w:val="15"/>
              </w:rPr>
              <w:t xml:space="preserve"> </w:t>
            </w:r>
            <w:r>
              <w:rPr>
                <w:rStyle w:val="VerbatimChar"/>
                <w:sz w:val="15"/>
              </w:rPr>
              <w:t xml:space="preserve">@ref</w:t>
            </w:r>
            <w:r>
              <w:rPr>
                <w:sz w:val="15"/>
              </w:rPr>
              <w:t xml:space="preserve">, validate, derive root fields and</w:t>
            </w:r>
            <w:r>
              <w:rPr>
                <w:sz w:val="15"/>
              </w:rPr>
              <w:t xml:space="preserve"> </w:t>
            </w:r>
            <w:r>
              <w:rPr>
                <w:rStyle w:val="VerbatimChar"/>
                <w:sz w:val="15"/>
              </w:rPr>
              <w:t xml:space="preserve">where</w:t>
            </w:r>
            <w:r>
              <w:rPr>
                <w:sz w:val="15"/>
              </w:rPr>
              <w:t xml:space="preserve"> </w:t>
            </w:r>
            <w:r>
              <w:rPr>
                <w:sz w:val="15"/>
              </w:rPr>
              <w:t xml:space="preserve">input types</w:t>
            </w:r>
          </w:p>
        </w:tc>
        <w:tc>
          <w:tcPr>
            <w:tcW w:w="1222" w:type="dxa"/>
          </w:tcPr>
          <w:p>
            <w:pPr>
              <w:pStyle w:val="Compact"/>
              <w:spacing w:after="20" w:before="20"/>
              <w:jc w:val="left"/>
            </w:pPr>
            <w:r>
              <w:rPr>
                <w:rStyle w:val="VerbatimChar"/>
                <w:sz w:val="15"/>
              </w:rPr>
              <w:t xml:space="preserve">schema.graphql</w:t>
            </w:r>
            <w:r>
              <w:rPr>
                <w:sz w:val="15"/>
              </w:rPr>
              <w:t xml:space="preserve">,</w:t>
            </w:r>
            <w:r>
              <w:rPr>
                <w:sz w:val="15"/>
              </w:rPr>
              <w:t xml:space="preserve"> </w:t>
            </w:r>
            <w:r>
              <w:rPr>
                <w:rStyle w:val="VerbatimChar"/>
                <w:sz w:val="15"/>
              </w:rPr>
              <w:t xml:space="preserve">backends.toml</w:t>
            </w:r>
          </w:p>
        </w:tc>
        <w:tc>
          <w:tcPr>
            <w:tcW w:w="1582" w:type="dxa"/>
          </w:tcPr>
          <w:p>
            <w:pPr>
              <w:pStyle w:val="Compact"/>
              <w:spacing w:after="20" w:before="20"/>
              <w:jc w:val="left"/>
            </w:pPr>
            <w:r>
              <w:rPr>
                <w:rStyle w:val="VerbatimChar"/>
                <w:sz w:val="15"/>
              </w:rPr>
              <w:t xml:space="preserve">GraphQLSchema</w:t>
            </w:r>
            <w:r>
              <w:rPr>
                <w:sz w:val="15"/>
              </w:rPr>
              <w:t xml:space="preserve">,</w:t>
            </w:r>
            <w:r>
              <w:rPr>
                <w:sz w:val="15"/>
              </w:rPr>
              <w:t xml:space="preserve"> </w:t>
            </w:r>
            <w:r>
              <w:rPr>
                <w:rStyle w:val="VerbatimChar"/>
                <w:sz w:val="15"/>
              </w:rPr>
              <w:t xml:space="preserve">PlacementMap</w:t>
            </w:r>
          </w:p>
        </w:tc>
        <w:tc>
          <w:tcPr>
            <w:tcW w:w="2130" w:type="dxa"/>
          </w:tcPr>
          <w:p>
            <w:pPr>
              <w:pStyle w:val="Compact"/>
              <w:spacing w:after="20" w:before="20"/>
              <w:jc w:val="left"/>
            </w:pPr>
            <w:r>
              <w:rPr>
                <w:sz w:val="15"/>
              </w:rPr>
              <w:t xml:space="preserve">Refuses to start: unknown backend, type without</w:t>
            </w:r>
            <w:r>
              <w:rPr>
                <w:sz w:val="15"/>
              </w:rPr>
              <w:t xml:space="preserve"> </w:t>
            </w:r>
            <w:r>
              <w:rPr>
                <w:rStyle w:val="VerbatimChar"/>
                <w:sz w:val="15"/>
              </w:rPr>
              <w:t xml:space="preserve">@store</w:t>
            </w:r>
            <w:r>
              <w:rPr>
                <w:sz w:val="15"/>
              </w:rPr>
              <w:t xml:space="preserve">,</w:t>
            </w:r>
            <w:r>
              <w:rPr>
                <w:sz w:val="15"/>
              </w:rPr>
              <w:t xml:space="preserve"> </w:t>
            </w:r>
            <w:r>
              <w:rPr>
                <w:rStyle w:val="VerbatimChar"/>
                <w:sz w:val="15"/>
              </w:rPr>
              <w:t xml:space="preserve">@ref</w:t>
            </w:r>
            <w:r>
              <w:rPr>
                <w:sz w:val="15"/>
              </w:rPr>
              <w:t xml:space="preserve"> </w:t>
            </w:r>
            <w:r>
              <w:rPr>
                <w:sz w:val="15"/>
              </w:rPr>
              <w:t xml:space="preserve">to a missing field, key type mismatch</w:t>
            </w:r>
          </w:p>
        </w:tc>
      </w:tr>
      <w:tr>
        <w:tc>
          <w:tcPr>
            <w:tcW w:w="539" w:type="dxa"/>
          </w:tcPr>
          <w:p>
            <w:pPr>
              <w:pStyle w:val="Compact"/>
              <w:spacing w:after="20" w:before="20"/>
              <w:jc w:val="left"/>
            </w:pPr>
            <w:r>
              <w:rPr>
                <w:sz w:val="15"/>
              </w:rPr>
              <w:t xml:space="preserve">4.2</w:t>
            </w:r>
          </w:p>
        </w:tc>
        <w:tc>
          <w:tcPr>
            <w:tcW w:w="1157" w:type="dxa"/>
          </w:tcPr>
          <w:p>
            <w:pPr>
              <w:pStyle w:val="Compact"/>
              <w:spacing w:after="20" w:before="20"/>
              <w:jc w:val="left"/>
            </w:pPr>
            <w:r>
              <w:rPr>
                <w:sz w:val="15"/>
              </w:rPr>
              <w:t xml:space="preserve">Parser + validator</w:t>
            </w:r>
          </w:p>
        </w:tc>
        <w:tc>
          <w:tcPr>
            <w:tcW w:w="889" w:type="dxa"/>
          </w:tcPr>
          <w:p>
            <w:pPr>
              <w:pStyle w:val="Compact"/>
              <w:spacing w:after="20" w:before="20"/>
              <w:jc w:val="left"/>
            </w:pPr>
            <w:r>
              <w:rPr>
                <w:rStyle w:val="VerbatimChar"/>
                <w:sz w:val="15"/>
              </w:rPr>
              <w:t xml:space="preserve">engine/parse/</w:t>
            </w:r>
          </w:p>
        </w:tc>
        <w:tc>
          <w:tcPr>
            <w:tcW w:w="2269" w:type="dxa"/>
          </w:tcPr>
          <w:p>
            <w:pPr>
              <w:pStyle w:val="Compact"/>
              <w:spacing w:after="20" w:before="20"/>
              <w:jc w:val="left"/>
            </w:pPr>
            <w:r>
              <w:rPr>
                <w:sz w:val="15"/>
              </w:rPr>
              <w:t xml:space="preserve">Parse and validate the operation against the augmented schema; reject anything outside the MVA subset</w:t>
            </w:r>
          </w:p>
        </w:tc>
        <w:tc>
          <w:tcPr>
            <w:tcW w:w="1222" w:type="dxa"/>
          </w:tcPr>
          <w:p>
            <w:pPr>
              <w:pStyle w:val="Compact"/>
              <w:spacing w:after="20" w:before="20"/>
              <w:jc w:val="left"/>
            </w:pPr>
            <w:r>
              <w:rPr>
                <w:sz w:val="15"/>
              </w:rPr>
              <w:t xml:space="preserve">operation text, variables</w:t>
            </w:r>
          </w:p>
        </w:tc>
        <w:tc>
          <w:tcPr>
            <w:tcW w:w="1582" w:type="dxa"/>
          </w:tcPr>
          <w:p>
            <w:pPr>
              <w:pStyle w:val="Compact"/>
              <w:spacing w:after="20" w:before="20"/>
              <w:jc w:val="left"/>
            </w:pPr>
            <w:r>
              <w:rPr>
                <w:sz w:val="15"/>
              </w:rPr>
              <w:t xml:space="preserve">validated</w:t>
            </w:r>
            <w:r>
              <w:rPr>
                <w:sz w:val="15"/>
              </w:rPr>
              <w:t xml:space="preserve"> </w:t>
            </w:r>
            <w:r>
              <w:rPr>
                <w:rStyle w:val="VerbatimChar"/>
                <w:sz w:val="15"/>
              </w:rPr>
              <w:t xml:space="preserve">DocumentNode</w:t>
            </w:r>
          </w:p>
        </w:tc>
        <w:tc>
          <w:tcPr>
            <w:tcW w:w="2130" w:type="dxa"/>
          </w:tcPr>
          <w:p>
            <w:pPr>
              <w:pStyle w:val="Compact"/>
              <w:spacing w:after="20" w:before="20"/>
              <w:jc w:val="left"/>
            </w:pPr>
            <w:r>
              <w:rPr>
                <w:sz w:val="15"/>
              </w:rPr>
              <w:t xml:space="preserve">GraphQL error</w:t>
            </w:r>
            <w:r>
              <w:rPr>
                <w:sz w:val="15"/>
              </w:rPr>
              <w:t xml:space="preserve"> </w:t>
            </w:r>
            <w:r>
              <w:rPr>
                <w:rStyle w:val="VerbatimChar"/>
                <w:sz w:val="15"/>
              </w:rPr>
              <w:t xml:space="preserve">UNSUPPORTED_OPERATION</w:t>
            </w:r>
            <w:r>
              <w:rPr>
                <w:sz w:val="15"/>
              </w:rPr>
              <w:t xml:space="preserve"> </w:t>
            </w:r>
            <w:r>
              <w:rPr>
                <w:sz w:val="15"/>
              </w:rPr>
              <w:t xml:space="preserve">naming the construct</w:t>
            </w:r>
          </w:p>
        </w:tc>
      </w:tr>
      <w:tr>
        <w:tc>
          <w:tcPr>
            <w:tcW w:w="539" w:type="dxa"/>
          </w:tcPr>
          <w:p>
            <w:pPr>
              <w:pStyle w:val="Compact"/>
              <w:spacing w:after="20" w:before="20"/>
              <w:jc w:val="left"/>
            </w:pPr>
            <w:r>
              <w:rPr>
                <w:sz w:val="15"/>
              </w:rPr>
              <w:t xml:space="preserve">4.3</w:t>
            </w:r>
          </w:p>
        </w:tc>
        <w:tc>
          <w:tcPr>
            <w:tcW w:w="1157" w:type="dxa"/>
          </w:tcPr>
          <w:p>
            <w:pPr>
              <w:pStyle w:val="Compact"/>
              <w:spacing w:after="20" w:before="20"/>
              <w:jc w:val="left"/>
            </w:pPr>
            <w:r>
              <w:rPr>
                <w:sz w:val="15"/>
              </w:rPr>
              <w:t xml:space="preserve">Logical planner</w:t>
            </w:r>
          </w:p>
        </w:tc>
        <w:tc>
          <w:tcPr>
            <w:tcW w:w="889" w:type="dxa"/>
          </w:tcPr>
          <w:p>
            <w:pPr>
              <w:pStyle w:val="Compact"/>
              <w:spacing w:after="20" w:before="20"/>
              <w:jc w:val="left"/>
            </w:pPr>
            <w:r>
              <w:rPr>
                <w:rStyle w:val="VerbatimChar"/>
                <w:sz w:val="15"/>
              </w:rPr>
              <w:t xml:space="preserve">engine/plan/</w:t>
            </w:r>
          </w:p>
        </w:tc>
        <w:tc>
          <w:tcPr>
            <w:tcW w:w="2269" w:type="dxa"/>
          </w:tcPr>
          <w:p>
            <w:pPr>
              <w:pStyle w:val="Compact"/>
              <w:spacing w:after="20" w:before="20"/>
              <w:jc w:val="left"/>
            </w:pPr>
            <w:r>
              <w:rPr>
                <w:sz w:val="15"/>
              </w:rPr>
              <w:t xml:space="preserve">Build the logical plan:</w:t>
            </w:r>
            <w:r>
              <w:rPr>
                <w:sz w:val="15"/>
              </w:rPr>
              <w:t xml:space="preserve"> </w:t>
            </w:r>
            <w:r>
              <w:rPr>
                <w:rStyle w:val="VerbatimChar"/>
                <w:sz w:val="15"/>
              </w:rPr>
              <w:t xml:space="preserve">Scan</w:t>
            </w:r>
            <w:r>
              <w:rPr>
                <w:sz w:val="15"/>
              </w:rPr>
              <w:t xml:space="preserve">,</w:t>
            </w:r>
            <w:r>
              <w:rPr>
                <w:sz w:val="15"/>
              </w:rPr>
              <w:t xml:space="preserve"> </w:t>
            </w:r>
            <w:r>
              <w:rPr>
                <w:rStyle w:val="VerbatimChar"/>
                <w:sz w:val="15"/>
              </w:rPr>
              <w:t xml:space="preserve">Filter</w:t>
            </w:r>
            <w:r>
              <w:rPr>
                <w:sz w:val="15"/>
              </w:rPr>
              <w:t xml:space="preserve">,</w:t>
            </w:r>
            <w:r>
              <w:rPr>
                <w:sz w:val="15"/>
              </w:rPr>
              <w:t xml:space="preserve"> </w:t>
            </w:r>
            <w:r>
              <w:rPr>
                <w:rStyle w:val="VerbatimChar"/>
                <w:sz w:val="15"/>
              </w:rPr>
              <w:t xml:space="preserve">Project</w:t>
            </w:r>
            <w:r>
              <w:rPr>
                <w:sz w:val="15"/>
              </w:rPr>
              <w:t xml:space="preserve">,</w:t>
            </w:r>
            <w:r>
              <w:rPr>
                <w:sz w:val="15"/>
              </w:rPr>
              <w:t xml:space="preserve"> </w:t>
            </w:r>
            <w:r>
              <w:rPr>
                <w:rStyle w:val="VerbatimChar"/>
                <w:sz w:val="15"/>
              </w:rPr>
              <w:t xml:space="preserve">Join</w:t>
            </w:r>
            <w:r>
              <w:rPr>
                <w:sz w:val="15"/>
              </w:rPr>
              <w:t xml:space="preserve">,</w:t>
            </w:r>
            <w:r>
              <w:rPr>
                <w:sz w:val="15"/>
              </w:rPr>
              <w:t xml:space="preserve"> </w:t>
            </w:r>
            <w:r>
              <w:rPr>
                <w:rStyle w:val="VerbatimChar"/>
                <w:sz w:val="15"/>
              </w:rPr>
              <w:t xml:space="preserve">Aggregate</w:t>
            </w:r>
            <w:r>
              <w:rPr>
                <w:sz w:val="15"/>
              </w:rPr>
              <w:t xml:space="preserve">,</w:t>
            </w:r>
            <w:r>
              <w:rPr>
                <w:sz w:val="15"/>
              </w:rPr>
              <w:t xml:space="preserve"> </w:t>
            </w:r>
            <w:r>
              <w:rPr>
                <w:rStyle w:val="VerbatimChar"/>
                <w:sz w:val="15"/>
              </w:rPr>
              <w:t xml:space="preserve">Limit</w:t>
            </w:r>
          </w:p>
        </w:tc>
        <w:tc>
          <w:tcPr>
            <w:tcW w:w="1222" w:type="dxa"/>
          </w:tcPr>
          <w:p>
            <w:pPr>
              <w:pStyle w:val="Compact"/>
              <w:spacing w:after="20" w:before="20"/>
              <w:jc w:val="left"/>
            </w:pPr>
            <w:r>
              <w:rPr>
                <w:sz w:val="15"/>
              </w:rPr>
              <w:t xml:space="preserve">AST,</w:t>
            </w:r>
            <w:r>
              <w:rPr>
                <w:sz w:val="15"/>
              </w:rPr>
              <w:t xml:space="preserve"> </w:t>
            </w:r>
            <w:r>
              <w:rPr>
                <w:rStyle w:val="VerbatimChar"/>
                <w:sz w:val="15"/>
              </w:rPr>
              <w:t xml:space="preserve">PlacementMap</w:t>
            </w:r>
          </w:p>
        </w:tc>
        <w:tc>
          <w:tcPr>
            <w:tcW w:w="1582" w:type="dxa"/>
          </w:tcPr>
          <w:p>
            <w:pPr>
              <w:pStyle w:val="Compact"/>
              <w:spacing w:after="20" w:before="20"/>
              <w:jc w:val="left"/>
            </w:pPr>
            <w:r>
              <w:rPr>
                <w:rStyle w:val="VerbatimChar"/>
                <w:sz w:val="15"/>
              </w:rPr>
              <w:t xml:space="preserve">LogicalPlan</w:t>
            </w:r>
            <w:r>
              <w:rPr>
                <w:sz w:val="15"/>
              </w:rPr>
              <w:t xml:space="preserve"> </w:t>
            </w:r>
            <w:r>
              <w:rPr>
                <w:sz w:val="15"/>
              </w:rPr>
              <w:t xml:space="preserve">tree</w:t>
            </w:r>
          </w:p>
        </w:tc>
        <w:tc>
          <w:tcPr>
            <w:tcW w:w="2130" w:type="dxa"/>
          </w:tcPr>
          <w:p>
            <w:pPr>
              <w:pStyle w:val="Compact"/>
              <w:spacing w:after="20" w:before="20"/>
              <w:jc w:val="left"/>
            </w:pPr>
            <w:r>
              <w:rPr>
                <w:sz w:val="15"/>
              </w:rPr>
              <w:t xml:space="preserve">Planner errors are bugs: raise, never return partial plans</w:t>
            </w:r>
          </w:p>
        </w:tc>
      </w:tr>
      <w:tr>
        <w:tc>
          <w:tcPr>
            <w:tcW w:w="539" w:type="dxa"/>
          </w:tcPr>
          <w:p>
            <w:pPr>
              <w:pStyle w:val="Compact"/>
              <w:spacing w:after="20" w:before="20"/>
              <w:jc w:val="left"/>
            </w:pPr>
            <w:r>
              <w:rPr>
                <w:sz w:val="15"/>
              </w:rPr>
              <w:t xml:space="preserve">4.4</w:t>
            </w:r>
          </w:p>
        </w:tc>
        <w:tc>
          <w:tcPr>
            <w:tcW w:w="1157" w:type="dxa"/>
          </w:tcPr>
          <w:p>
            <w:pPr>
              <w:pStyle w:val="Compact"/>
              <w:spacing w:after="20" w:before="20"/>
              <w:jc w:val="left"/>
            </w:pPr>
            <w:r>
              <w:rPr>
                <w:sz w:val="15"/>
              </w:rPr>
              <w:t xml:space="preserve">Rewriter</w:t>
            </w:r>
          </w:p>
        </w:tc>
        <w:tc>
          <w:tcPr>
            <w:tcW w:w="889" w:type="dxa"/>
          </w:tcPr>
          <w:p>
            <w:pPr>
              <w:pStyle w:val="Compact"/>
              <w:spacing w:after="20" w:before="20"/>
              <w:jc w:val="left"/>
            </w:pPr>
            <w:r>
              <w:rPr>
                <w:rStyle w:val="VerbatimChar"/>
                <w:sz w:val="15"/>
              </w:rPr>
              <w:t xml:space="preserve">engine/rewrite/</w:t>
            </w:r>
          </w:p>
        </w:tc>
        <w:tc>
          <w:tcPr>
            <w:tcW w:w="2269" w:type="dxa"/>
          </w:tcPr>
          <w:p>
            <w:pPr>
              <w:pStyle w:val="Compact"/>
              <w:spacing w:after="20" w:before="20"/>
              <w:jc w:val="left"/>
            </w:pPr>
            <w:r>
              <w:rPr>
                <w:sz w:val="15"/>
              </w:rPr>
              <w:t xml:space="preserve">Apply rules R1–R4 in fixed order; each rule is a pure function plan → plan</w:t>
            </w:r>
          </w:p>
        </w:tc>
        <w:tc>
          <w:tcPr>
            <w:tcW w:w="1222" w:type="dxa"/>
          </w:tcPr>
          <w:p>
            <w:pPr>
              <w:pStyle w:val="Compact"/>
              <w:spacing w:after="20" w:before="20"/>
              <w:jc w:val="left"/>
            </w:pPr>
            <w:r>
              <w:rPr>
                <w:rStyle w:val="VerbatimChar"/>
                <w:sz w:val="15"/>
              </w:rPr>
              <w:t xml:space="preserve">LogicalPlan</w:t>
            </w:r>
            <w:r>
              <w:rPr>
                <w:sz w:val="15"/>
              </w:rPr>
              <w:t xml:space="preserve">,</w:t>
            </w:r>
            <w:r>
              <w:rPr>
                <w:sz w:val="15"/>
              </w:rPr>
              <w:t xml:space="preserve"> </w:t>
            </w:r>
            <w:r>
              <w:rPr>
                <w:rStyle w:val="VerbatimChar"/>
                <w:sz w:val="15"/>
              </w:rPr>
              <w:t xml:space="preserve">RuleConfig</w:t>
            </w:r>
          </w:p>
        </w:tc>
        <w:tc>
          <w:tcPr>
            <w:tcW w:w="1582" w:type="dxa"/>
          </w:tcPr>
          <w:p>
            <w:pPr>
              <w:pStyle w:val="Compact"/>
              <w:spacing w:after="20" w:before="20"/>
              <w:jc w:val="left"/>
            </w:pPr>
            <w:r>
              <w:rPr>
                <w:rStyle w:val="VerbatimChar"/>
                <w:sz w:val="15"/>
              </w:rPr>
              <w:t xml:space="preserve">PhysicalPlan</w:t>
            </w:r>
            <w:r>
              <w:rPr>
                <w:sz w:val="15"/>
              </w:rPr>
              <w:t xml:space="preserve"> </w:t>
            </w:r>
            <w:r>
              <w:rPr>
                <w:sz w:val="15"/>
              </w:rPr>
              <w:t xml:space="preserve">of per-backend</w:t>
            </w:r>
            <w:r>
              <w:rPr>
                <w:sz w:val="15"/>
              </w:rPr>
              <w:t xml:space="preserve"> </w:t>
            </w:r>
            <w:r>
              <w:rPr>
                <w:rStyle w:val="VerbatimChar"/>
                <w:sz w:val="15"/>
              </w:rPr>
              <w:t xml:space="preserve">ScanFragment</w:t>
            </w:r>
            <w:r>
              <w:rPr>
                <w:sz w:val="15"/>
              </w:rPr>
              <w:t xml:space="preserve">s + in-engine operators</w:t>
            </w:r>
          </w:p>
        </w:tc>
        <w:tc>
          <w:tcPr>
            <w:tcW w:w="2130" w:type="dxa"/>
          </w:tcPr>
          <w:p>
            <w:pPr>
              <w:pStyle w:val="Compact"/>
              <w:spacing w:after="20" w:before="20"/>
              <w:jc w:val="left"/>
            </w:pPr>
            <w:r>
              <w:rPr>
                <w:sz w:val="15"/>
              </w:rPr>
              <w:t xml:space="preserve">A rule that cannot prove safety leaves the plan unchanged</w:t>
            </w:r>
          </w:p>
        </w:tc>
      </w:tr>
      <w:tr>
        <w:tc>
          <w:tcPr>
            <w:tcW w:w="539" w:type="dxa"/>
          </w:tcPr>
          <w:p>
            <w:pPr>
              <w:pStyle w:val="Compact"/>
              <w:spacing w:after="20" w:before="20"/>
              <w:jc w:val="left"/>
            </w:pPr>
            <w:r>
              <w:rPr>
                <w:sz w:val="15"/>
              </w:rPr>
              <w:t xml:space="preserve">4.5</w:t>
            </w:r>
          </w:p>
        </w:tc>
        <w:tc>
          <w:tcPr>
            <w:tcW w:w="1157" w:type="dxa"/>
          </w:tcPr>
          <w:p>
            <w:pPr>
              <w:pStyle w:val="Compact"/>
              <w:spacing w:after="20" w:before="20"/>
              <w:jc w:val="left"/>
            </w:pPr>
            <w:r>
              <w:rPr>
                <w:sz w:val="15"/>
              </w:rPr>
              <w:t xml:space="preserve">Executor</w:t>
            </w:r>
          </w:p>
        </w:tc>
        <w:tc>
          <w:tcPr>
            <w:tcW w:w="889" w:type="dxa"/>
          </w:tcPr>
          <w:p>
            <w:pPr>
              <w:pStyle w:val="Compact"/>
              <w:spacing w:after="20" w:before="20"/>
              <w:jc w:val="left"/>
            </w:pPr>
            <w:r>
              <w:rPr>
                <w:rStyle w:val="VerbatimChar"/>
                <w:sz w:val="15"/>
              </w:rPr>
              <w:t xml:space="preserve">engine/exec/</w:t>
            </w:r>
          </w:p>
        </w:tc>
        <w:tc>
          <w:tcPr>
            <w:tcW w:w="2269" w:type="dxa"/>
          </w:tcPr>
          <w:p>
            <w:pPr>
              <w:pStyle w:val="Compact"/>
              <w:spacing w:after="20" w:before="20"/>
              <w:jc w:val="left"/>
            </w:pPr>
            <w:r>
              <w:rPr>
                <w:sz w:val="15"/>
              </w:rPr>
              <w:t xml:space="preserve">Run fragments, hash-join, aggregate residuals, shape the nested GraphQL result; record timing spans</w:t>
            </w:r>
          </w:p>
        </w:tc>
        <w:tc>
          <w:tcPr>
            <w:tcW w:w="1222" w:type="dxa"/>
          </w:tcPr>
          <w:p>
            <w:pPr>
              <w:pStyle w:val="Compact"/>
              <w:spacing w:after="20" w:before="20"/>
              <w:jc w:val="left"/>
            </w:pPr>
            <w:r>
              <w:rPr>
                <w:rStyle w:val="VerbatimChar"/>
                <w:sz w:val="15"/>
              </w:rPr>
              <w:t xml:space="preserve">PhysicalPlan</w:t>
            </w:r>
          </w:p>
        </w:tc>
        <w:tc>
          <w:tcPr>
            <w:tcW w:w="1582" w:type="dxa"/>
          </w:tcPr>
          <w:p>
            <w:pPr>
              <w:pStyle w:val="Compact"/>
              <w:spacing w:after="20" w:before="20"/>
              <w:jc w:val="left"/>
            </w:pPr>
            <w:r>
              <w:rPr>
                <w:rStyle w:val="VerbatimChar"/>
                <w:sz w:val="15"/>
              </w:rPr>
              <w:t xml:space="preserve">ExecutionResult</w:t>
            </w:r>
            <w:r>
              <w:rPr>
                <w:sz w:val="15"/>
              </w:rPr>
              <w:t xml:space="preserve"> </w:t>
            </w:r>
            <w:r>
              <w:rPr>
                <w:sz w:val="15"/>
              </w:rPr>
              <w:t xml:space="preserve">+</w:t>
            </w:r>
            <w:r>
              <w:rPr>
                <w:sz w:val="15"/>
              </w:rPr>
              <w:t xml:space="preserve"> </w:t>
            </w:r>
            <w:r>
              <w:rPr>
                <w:rStyle w:val="VerbatimChar"/>
                <w:sz w:val="15"/>
              </w:rPr>
              <w:t xml:space="preserve">Trace</w:t>
            </w:r>
          </w:p>
        </w:tc>
        <w:tc>
          <w:tcPr>
            <w:tcW w:w="2130" w:type="dxa"/>
          </w:tcPr>
          <w:p>
            <w:pPr>
              <w:pStyle w:val="Compact"/>
              <w:spacing w:after="20" w:before="20"/>
              <w:jc w:val="left"/>
            </w:pPr>
            <w:r>
              <w:rPr>
                <w:sz w:val="15"/>
              </w:rPr>
              <w:t xml:space="preserve">Backend error → GraphQL error</w:t>
            </w:r>
            <w:r>
              <w:rPr>
                <w:sz w:val="15"/>
              </w:rPr>
              <w:t xml:space="preserve"> </w:t>
            </w:r>
            <w:r>
              <w:rPr>
                <w:rStyle w:val="VerbatimChar"/>
                <w:sz w:val="15"/>
              </w:rPr>
              <w:t xml:space="preserve">BACKEND_UNAVAILABLE</w:t>
            </w:r>
            <w:r>
              <w:rPr>
                <w:sz w:val="15"/>
              </w:rPr>
              <w:t xml:space="preserve">; no partial data</w:t>
            </w:r>
          </w:p>
        </w:tc>
      </w:tr>
      <w:tr>
        <w:tc>
          <w:tcPr>
            <w:tcW w:w="539" w:type="dxa"/>
          </w:tcPr>
          <w:p>
            <w:pPr>
              <w:pStyle w:val="Compact"/>
              <w:spacing w:after="20" w:before="20"/>
              <w:jc w:val="left"/>
            </w:pPr>
            <w:r>
              <w:rPr>
                <w:sz w:val="15"/>
              </w:rPr>
              <w:t xml:space="preserve">4.6</w:t>
            </w:r>
          </w:p>
        </w:tc>
        <w:tc>
          <w:tcPr>
            <w:tcW w:w="1157" w:type="dxa"/>
          </w:tcPr>
          <w:p>
            <w:pPr>
              <w:pStyle w:val="Compact"/>
              <w:spacing w:after="20" w:before="20"/>
              <w:jc w:val="left"/>
            </w:pPr>
            <w:r>
              <w:rPr>
                <w:sz w:val="15"/>
              </w:rPr>
              <w:t xml:space="preserve">Adapters (PG, Mongo)</w:t>
            </w:r>
          </w:p>
        </w:tc>
        <w:tc>
          <w:tcPr>
            <w:tcW w:w="889" w:type="dxa"/>
          </w:tcPr>
          <w:p>
            <w:pPr>
              <w:pStyle w:val="Compact"/>
              <w:spacing w:after="20" w:before="20"/>
              <w:jc w:val="left"/>
            </w:pPr>
            <w:r>
              <w:rPr>
                <w:rStyle w:val="VerbatimChar"/>
                <w:sz w:val="15"/>
              </w:rPr>
              <w:t xml:space="preserve">engine/adapters/</w:t>
            </w:r>
          </w:p>
        </w:tc>
        <w:tc>
          <w:tcPr>
            <w:tcW w:w="2269" w:type="dxa"/>
          </w:tcPr>
          <w:p>
            <w:pPr>
              <w:pStyle w:val="Compact"/>
              <w:spacing w:after="20" w:before="20"/>
              <w:jc w:val="left"/>
            </w:pPr>
            <w:r>
              <w:rPr>
                <w:sz w:val="15"/>
              </w:rPr>
              <w:t xml:space="preserve">Translate a</w:t>
            </w:r>
            <w:r>
              <w:rPr>
                <w:sz w:val="15"/>
              </w:rPr>
              <w:t xml:space="preserve"> </w:t>
            </w:r>
            <w:r>
              <w:rPr>
                <w:rStyle w:val="VerbatimChar"/>
                <w:sz w:val="15"/>
              </w:rPr>
              <w:t xml:space="preserve">ScanFragment</w:t>
            </w:r>
            <w:r>
              <w:rPr>
                <w:sz w:val="15"/>
              </w:rPr>
              <w:t xml:space="preserve"> </w:t>
            </w:r>
            <w:r>
              <w:rPr>
                <w:sz w:val="15"/>
              </w:rPr>
              <w:t xml:space="preserve">to SQL or an aggregation pipeline; count bytes</w:t>
            </w:r>
          </w:p>
        </w:tc>
        <w:tc>
          <w:tcPr>
            <w:tcW w:w="1222" w:type="dxa"/>
          </w:tcPr>
          <w:p>
            <w:pPr>
              <w:pStyle w:val="Compact"/>
              <w:spacing w:after="20" w:before="20"/>
              <w:jc w:val="left"/>
            </w:pPr>
            <w:r>
              <w:rPr>
                <w:rStyle w:val="VerbatimChar"/>
                <w:sz w:val="15"/>
              </w:rPr>
              <w:t xml:space="preserve">ScanFragment</w:t>
            </w:r>
          </w:p>
        </w:tc>
        <w:tc>
          <w:tcPr>
            <w:tcW w:w="1582" w:type="dxa"/>
          </w:tcPr>
          <w:p>
            <w:pPr>
              <w:pStyle w:val="Compact"/>
              <w:spacing w:after="20" w:before="20"/>
              <w:jc w:val="left"/>
            </w:pPr>
            <w:r>
              <w:rPr>
                <w:sz w:val="15"/>
              </w:rPr>
              <w:t xml:space="preserve">iterator of row batches +</w:t>
            </w:r>
            <w:r>
              <w:rPr>
                <w:sz w:val="15"/>
              </w:rPr>
              <w:t xml:space="preserve"> </w:t>
            </w:r>
            <w:r>
              <w:rPr>
                <w:rStyle w:val="VerbatimChar"/>
                <w:sz w:val="15"/>
              </w:rPr>
              <w:t xml:space="preserve">ByteCount</w:t>
            </w:r>
          </w:p>
        </w:tc>
        <w:tc>
          <w:tcPr>
            <w:tcW w:w="2130" w:type="dxa"/>
          </w:tcPr>
          <w:p>
            <w:pPr>
              <w:pStyle w:val="Compact"/>
              <w:spacing w:after="20" w:before="20"/>
              <w:jc w:val="left"/>
            </w:pPr>
            <w:r>
              <w:rPr>
                <w:sz w:val="15"/>
              </w:rPr>
              <w:t xml:space="preserve">Unsupported fragment feature →</w:t>
            </w:r>
            <w:r>
              <w:rPr>
                <w:sz w:val="15"/>
              </w:rPr>
              <w:t xml:space="preserve"> </w:t>
            </w:r>
            <w:r>
              <w:rPr>
                <w:rStyle w:val="VerbatimChar"/>
                <w:sz w:val="15"/>
              </w:rPr>
              <w:t xml:space="preserve">CapabilityError</w:t>
            </w:r>
            <w:r>
              <w:rPr>
                <w:sz w:val="15"/>
              </w:rPr>
              <w:t xml:space="preserve"> </w:t>
            </w:r>
            <w:r>
              <w:rPr>
                <w:sz w:val="15"/>
              </w:rPr>
              <w:t xml:space="preserve">at plan time, not run time</w:t>
            </w:r>
          </w:p>
        </w:tc>
      </w:tr>
      <w:tr>
        <w:tc>
          <w:tcPr>
            <w:tcW w:w="539" w:type="dxa"/>
          </w:tcPr>
          <w:p>
            <w:pPr>
              <w:pStyle w:val="Compact"/>
              <w:spacing w:after="20" w:before="20"/>
              <w:jc w:val="left"/>
            </w:pPr>
            <w:r>
              <w:rPr>
                <w:sz w:val="15"/>
              </w:rPr>
              <w:t xml:space="preserve">4.7</w:t>
            </w:r>
          </w:p>
        </w:tc>
        <w:tc>
          <w:tcPr>
            <w:tcW w:w="1157" w:type="dxa"/>
          </w:tcPr>
          <w:p>
            <w:pPr>
              <w:pStyle w:val="Compact"/>
              <w:spacing w:after="20" w:before="20"/>
              <w:jc w:val="left"/>
            </w:pPr>
            <w:r>
              <w:rPr>
                <w:sz w:val="15"/>
              </w:rPr>
              <w:t xml:space="preserve">Oracle</w:t>
            </w:r>
          </w:p>
        </w:tc>
        <w:tc>
          <w:tcPr>
            <w:tcW w:w="889" w:type="dxa"/>
          </w:tcPr>
          <w:p>
            <w:pPr>
              <w:pStyle w:val="Compact"/>
              <w:spacing w:after="20" w:before="20"/>
              <w:jc w:val="left"/>
            </w:pPr>
            <w:r>
              <w:rPr>
                <w:rStyle w:val="VerbatimChar"/>
                <w:sz w:val="15"/>
              </w:rPr>
              <w:t xml:space="preserve">oracle/</w:t>
            </w:r>
          </w:p>
        </w:tc>
        <w:tc>
          <w:tcPr>
            <w:tcW w:w="2269" w:type="dxa"/>
          </w:tcPr>
          <w:p>
            <w:pPr>
              <w:pStyle w:val="Compact"/>
              <w:spacing w:after="20" w:before="20"/>
              <w:jc w:val="left"/>
            </w:pPr>
            <w:r>
              <w:rPr>
                <w:sz w:val="15"/>
              </w:rPr>
              <w:t xml:space="preserve">Run the reference SQL for each workload query on</w:t>
            </w:r>
            <w:r>
              <w:rPr>
                <w:sz w:val="15"/>
              </w:rPr>
              <w:t xml:space="preserve"> </w:t>
            </w:r>
            <w:r>
              <w:rPr>
                <w:rStyle w:val="VerbatimChar"/>
                <w:sz w:val="15"/>
              </w:rPr>
              <w:t xml:space="preserve">pg-cons</w:t>
            </w:r>
            <w:r>
              <w:rPr>
                <w:sz w:val="15"/>
              </w:rPr>
              <w:t xml:space="preserve">; compare order-insensitively</w:t>
            </w:r>
          </w:p>
        </w:tc>
        <w:tc>
          <w:tcPr>
            <w:tcW w:w="1222" w:type="dxa"/>
          </w:tcPr>
          <w:p>
            <w:pPr>
              <w:pStyle w:val="Compact"/>
              <w:spacing w:after="20" w:before="20"/>
              <w:jc w:val="left"/>
            </w:pPr>
            <w:r>
              <w:rPr>
                <w:sz w:val="15"/>
              </w:rPr>
              <w:t xml:space="preserve">engine result, reference result</w:t>
            </w:r>
          </w:p>
        </w:tc>
        <w:tc>
          <w:tcPr>
            <w:tcW w:w="1582" w:type="dxa"/>
          </w:tcPr>
          <w:p>
            <w:pPr>
              <w:pStyle w:val="Compact"/>
              <w:spacing w:after="20" w:before="20"/>
              <w:jc w:val="left"/>
            </w:pPr>
            <w:r>
              <w:rPr>
                <w:rStyle w:val="VerbatimChar"/>
                <w:sz w:val="15"/>
              </w:rPr>
              <w:t xml:space="preserve">OracleVerdict</w:t>
            </w:r>
            <w:r>
              <w:rPr>
                <w:sz w:val="15"/>
              </w:rPr>
              <w:t xml:space="preserve"> </w:t>
            </w:r>
            <w:r>
              <w:rPr>
                <w:sz w:val="15"/>
              </w:rPr>
              <w:t xml:space="preserve">(match / diverge + diff)</w:t>
            </w:r>
          </w:p>
        </w:tc>
        <w:tc>
          <w:tcPr>
            <w:tcW w:w="2130" w:type="dxa"/>
          </w:tcPr>
          <w:p>
            <w:pPr>
              <w:pStyle w:val="Compact"/>
              <w:spacing w:after="20" w:before="20"/>
              <w:jc w:val="left"/>
            </w:pPr>
            <w:r>
              <w:rPr>
                <w:sz w:val="15"/>
              </w:rPr>
              <w:t xml:space="preserve">Divergence fails CI and opens a severity-1 issue</w:t>
            </w:r>
          </w:p>
        </w:tc>
      </w:tr>
      <w:tr>
        <w:tc>
          <w:tcPr>
            <w:tcW w:w="539" w:type="dxa"/>
          </w:tcPr>
          <w:p>
            <w:pPr>
              <w:pStyle w:val="Compact"/>
              <w:spacing w:after="20" w:before="20"/>
              <w:jc w:val="left"/>
            </w:pPr>
            <w:r>
              <w:rPr>
                <w:sz w:val="15"/>
              </w:rPr>
              <w:t xml:space="preserve">4.8</w:t>
            </w:r>
          </w:p>
        </w:tc>
        <w:tc>
          <w:tcPr>
            <w:tcW w:w="1157" w:type="dxa"/>
          </w:tcPr>
          <w:p>
            <w:pPr>
              <w:pStyle w:val="Compact"/>
              <w:spacing w:after="20" w:before="20"/>
              <w:jc w:val="left"/>
            </w:pPr>
            <w:r>
              <w:rPr>
                <w:sz w:val="15"/>
              </w:rPr>
              <w:t xml:space="preserve">Bench runner</w:t>
            </w:r>
          </w:p>
        </w:tc>
        <w:tc>
          <w:tcPr>
            <w:tcW w:w="889" w:type="dxa"/>
          </w:tcPr>
          <w:p>
            <w:pPr>
              <w:pStyle w:val="Compact"/>
              <w:spacing w:after="20" w:before="20"/>
              <w:jc w:val="left"/>
            </w:pPr>
            <w:r>
              <w:rPr>
                <w:rStyle w:val="VerbatimChar"/>
                <w:sz w:val="15"/>
              </w:rPr>
              <w:t xml:space="preserve">bench/</w:t>
            </w:r>
          </w:p>
        </w:tc>
        <w:tc>
          <w:tcPr>
            <w:tcW w:w="2269" w:type="dxa"/>
          </w:tcPr>
          <w:p>
            <w:pPr>
              <w:pStyle w:val="Compact"/>
              <w:spacing w:after="20" w:before="20"/>
              <w:jc w:val="left"/>
            </w:pPr>
            <w:r>
              <w:rPr>
                <w:sz w:val="15"/>
              </w:rPr>
              <w:t xml:space="preserve">Execute arms in randomized order, collect timings and bytes, write the run manifest</w:t>
            </w:r>
          </w:p>
        </w:tc>
        <w:tc>
          <w:tcPr>
            <w:tcW w:w="1222" w:type="dxa"/>
          </w:tcPr>
          <w:p>
            <w:pPr>
              <w:pStyle w:val="Compact"/>
              <w:spacing w:after="20" w:before="20"/>
              <w:jc w:val="left"/>
            </w:pPr>
            <w:r>
              <w:rPr>
                <w:sz w:val="15"/>
              </w:rPr>
              <w:t xml:space="preserve">workload file, arm list, seed</w:t>
            </w:r>
          </w:p>
        </w:tc>
        <w:tc>
          <w:tcPr>
            <w:tcW w:w="1582" w:type="dxa"/>
          </w:tcPr>
          <w:p>
            <w:pPr>
              <w:pStyle w:val="Compact"/>
              <w:spacing w:after="20" w:before="20"/>
              <w:jc w:val="left"/>
            </w:pPr>
            <w:r>
              <w:rPr>
                <w:rStyle w:val="VerbatimChar"/>
                <w:sz w:val="15"/>
              </w:rPr>
              <w:t xml:space="preserve">runs/&lt;run-id&gt;/</w:t>
            </w:r>
          </w:p>
        </w:tc>
        <w:tc>
          <w:tcPr>
            <w:tcW w:w="2130" w:type="dxa"/>
          </w:tcPr>
          <w:p>
            <w:pPr>
              <w:pStyle w:val="Compact"/>
              <w:spacing w:after="20" w:before="20"/>
              <w:jc w:val="left"/>
            </w:pPr>
            <w:r>
              <w:rPr>
                <w:sz w:val="15"/>
              </w:rPr>
              <w:t xml:space="preserve">Aborts the run if the oracle is not green at the commit being measured</w:t>
            </w:r>
          </w:p>
        </w:tc>
      </w:tr>
    </w:tbl>
    <w:bookmarkStart w:id="36" w:name="internal-interfaces"/>
    <w:p>
      <w:pPr>
        <w:pStyle w:val="Heading2"/>
      </w:pPr>
      <w:r>
        <w:t xml:space="preserve">4.9 Internal interfaces</w:t>
      </w:r>
    </w:p>
    <w:p>
      <w:pPr>
        <w:pStyle w:val="FirstParagraph"/>
      </w:pPr>
      <w:r>
        <w:t xml:space="preserve">These are the contracts the components share. They are frozen at the end of Week 5; later changes need an ADR.</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Placement:</w:t>
      </w:r>
      <w:r>
        <w:br/>
      </w:r>
      <w:r>
        <w:rPr>
          <w:rStyle w:val="NormalTok"/>
        </w:rPr>
        <w:t xml:space="preserve">    type_name: </w:t>
      </w:r>
      <w:r>
        <w:rPr>
          <w:rStyle w:val="BuiltInTok"/>
        </w:rPr>
        <w:t xml:space="preserve">str</w:t>
      </w:r>
      <w:r>
        <w:rPr>
          <w:rStyle w:val="NormalTok"/>
        </w:rPr>
        <w:t xml:space="preserve">          </w:t>
      </w:r>
      <w:r>
        <w:rPr>
          <w:rStyle w:val="CommentTok"/>
        </w:rPr>
        <w:t xml:space="preserve"># GraphQL type, e.g. "Order"</w:t>
      </w:r>
      <w:r>
        <w:br/>
      </w:r>
      <w:r>
        <w:rPr>
          <w:rStyle w:val="NormalTok"/>
        </w:rPr>
        <w:t xml:space="preserve">    backend: </w:t>
      </w:r>
      <w:r>
        <w:rPr>
          <w:rStyle w:val="BuiltInTok"/>
        </w:rPr>
        <w:t xml:space="preserve">str</w:t>
      </w:r>
      <w:r>
        <w:rPr>
          <w:rStyle w:val="NormalTok"/>
        </w:rPr>
        <w:t xml:space="preserve">            </w:t>
      </w:r>
      <w:r>
        <w:rPr>
          <w:rStyle w:val="CommentTok"/>
        </w:rPr>
        <w:t xml:space="preserve"># key in backends.toml, e.g. "mongo"</w:t>
      </w:r>
      <w:r>
        <w:br/>
      </w:r>
      <w:r>
        <w:rPr>
          <w:rStyle w:val="NormalTok"/>
        </w:rPr>
        <w:t xml:space="preserve">    collection: </w:t>
      </w:r>
      <w:r>
        <w:rPr>
          <w:rStyle w:val="BuiltInTok"/>
        </w:rPr>
        <w:t xml:space="preserve">str</w:t>
      </w:r>
      <w:r>
        <w:rPr>
          <w:rStyle w:val="NormalTok"/>
        </w:rPr>
        <w:t xml:space="preserve">         </w:t>
      </w:r>
      <w:r>
        <w:rPr>
          <w:rStyle w:val="CommentTok"/>
        </w:rPr>
        <w:t xml:space="preserve"># table or collection name</w:t>
      </w:r>
      <w:r>
        <w:br/>
      </w:r>
      <w:r>
        <w:rPr>
          <w:rStyle w:val="NormalTok"/>
        </w:rPr>
        <w:t xml:space="preserve">    key: </w:t>
      </w:r>
      <w:r>
        <w:rPr>
          <w:rStyle w:val="BuiltInTok"/>
        </w:rPr>
        <w:t xml:space="preserve">str</w:t>
      </w:r>
      <w:r>
        <w:rPr>
          <w:rStyle w:val="NormalTok"/>
        </w:rPr>
        <w:t xml:space="preserve">                </w:t>
      </w:r>
      <w:r>
        <w:rPr>
          <w:rStyle w:val="CommentTok"/>
        </w:rPr>
        <w:t xml:space="preserve"># primary key field, default "id"</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Ref:</w:t>
      </w:r>
      <w:r>
        <w:br/>
      </w:r>
      <w:r>
        <w:rPr>
          <w:rStyle w:val="NormalTok"/>
        </w:rPr>
        <w:t xml:space="preserve">    owner: </w:t>
      </w:r>
      <w:r>
        <w:rPr>
          <w:rStyle w:val="BuiltInTok"/>
        </w:rPr>
        <w:t xml:space="preserve">str</w:t>
      </w:r>
      <w:r>
        <w:rPr>
          <w:rStyle w:val="OperatorTok"/>
        </w:rPr>
        <w:t xml:space="preserve">;</w:t>
      </w:r>
      <w:r>
        <w:rPr>
          <w:rStyle w:val="NormalTok"/>
        </w:rPr>
        <w:t xml:space="preserve"> field: </w:t>
      </w:r>
      <w:r>
        <w:rPr>
          <w:rStyle w:val="BuiltInTok"/>
        </w:rPr>
        <w:t xml:space="preserve">str</w:t>
      </w:r>
      <w:r>
        <w:rPr>
          <w:rStyle w:val="NormalTok"/>
        </w:rPr>
        <w:t xml:space="preserve">  </w:t>
      </w:r>
      <w:r>
        <w:rPr>
          <w:rStyle w:val="CommentTok"/>
        </w:rPr>
        <w:t xml:space="preserve"># Customer.orders</w:t>
      </w:r>
      <w:r>
        <w:br/>
      </w:r>
      <w:r>
        <w:rPr>
          <w:rStyle w:val="NormalTok"/>
        </w:rPr>
        <w:t xml:space="preserve">    target: </w:t>
      </w:r>
      <w:r>
        <w:rPr>
          <w:rStyle w:val="BuiltInTok"/>
        </w:rPr>
        <w:t xml:space="preserve">str</w:t>
      </w:r>
      <w:r>
        <w:rPr>
          <w:rStyle w:val="NormalTok"/>
        </w:rPr>
        <w:t xml:space="preserve">             </w:t>
      </w:r>
      <w:r>
        <w:rPr>
          <w:rStyle w:val="CommentTok"/>
        </w:rPr>
        <w:t xml:space="preserve"># Order</w:t>
      </w:r>
      <w:r>
        <w:br/>
      </w:r>
      <w:r>
        <w:rPr>
          <w:rStyle w:val="NormalTok"/>
        </w:rPr>
        <w:t xml:space="preserve">    local_key: </w:t>
      </w:r>
      <w:r>
        <w:rPr>
          <w:rStyle w:val="BuiltInTok"/>
        </w:rPr>
        <w:t xml:space="preserve">str</w:t>
      </w:r>
      <w:r>
        <w:rPr>
          <w:rStyle w:val="NormalTok"/>
        </w:rPr>
        <w:t xml:space="preserve">          </w:t>
      </w:r>
      <w:r>
        <w:rPr>
          <w:rStyle w:val="CommentTok"/>
        </w:rPr>
        <w:t xml:space="preserve"># Customer.id</w:t>
      </w:r>
      <w:r>
        <w:br/>
      </w:r>
      <w:r>
        <w:rPr>
          <w:rStyle w:val="NormalTok"/>
        </w:rPr>
        <w:t xml:space="preserve">    remote_key: </w:t>
      </w:r>
      <w:r>
        <w:rPr>
          <w:rStyle w:val="BuiltInTok"/>
        </w:rPr>
        <w:t xml:space="preserve">str</w:t>
      </w:r>
      <w:r>
        <w:rPr>
          <w:rStyle w:val="NormalTok"/>
        </w:rPr>
        <w:t xml:space="preserve">         </w:t>
      </w:r>
      <w:r>
        <w:rPr>
          <w:rStyle w:val="CommentTok"/>
        </w:rPr>
        <w:t xml:space="preserve"># Order.customerId</w:t>
      </w:r>
      <w:r>
        <w:br/>
      </w:r>
      <w:r>
        <w:rPr>
          <w:rStyle w:val="NormalTok"/>
        </w:rPr>
        <w:t xml:space="preserve">    cardinality: Literal[</w:t>
      </w:r>
      <w:r>
        <w:rPr>
          <w:rStyle w:val="StringTok"/>
        </w:rPr>
        <w:t xml:space="preserve">"one"</w:t>
      </w:r>
      <w:r>
        <w:rPr>
          <w:rStyle w:val="NormalTok"/>
        </w:rPr>
        <w:t xml:space="preserve">, </w:t>
      </w:r>
      <w:r>
        <w:rPr>
          <w:rStyle w:val="StringTok"/>
        </w:rPr>
        <w:t xml:space="preserve">"many"</w:t>
      </w:r>
      <w:r>
        <w:rPr>
          <w:rStyle w:val="NormalTok"/>
        </w:rPr>
        <w:t xml:space="preserve">]</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Pred:</w:t>
      </w:r>
      <w:r>
        <w:br/>
      </w:r>
      <w:r>
        <w:rPr>
          <w:rStyle w:val="NormalTok"/>
        </w:rPr>
        <w:t xml:space="preserve">    field: </w:t>
      </w:r>
      <w:r>
        <w:rPr>
          <w:rStyle w:val="BuiltInTok"/>
        </w:rPr>
        <w:t xml:space="preserve">str</w:t>
      </w:r>
      <w:r>
        <w:rPr>
          <w:rStyle w:val="OperatorTok"/>
        </w:rPr>
        <w:t xml:space="preserve">;</w:t>
      </w:r>
      <w:r>
        <w:rPr>
          <w:rStyle w:val="NormalTok"/>
        </w:rPr>
        <w:t xml:space="preserve"> op: Literal[</w:t>
      </w:r>
      <w:r>
        <w:rPr>
          <w:rStyle w:val="StringTok"/>
        </w:rPr>
        <w:t xml:space="preserve">"eq"</w:t>
      </w:r>
      <w:r>
        <w:rPr>
          <w:rStyle w:val="NormalTok"/>
        </w:rPr>
        <w:t xml:space="preserve">,</w:t>
      </w:r>
      <w:r>
        <w:rPr>
          <w:rStyle w:val="StringTok"/>
        </w:rPr>
        <w:t xml:space="preserve">"lt"</w:t>
      </w:r>
      <w:r>
        <w:rPr>
          <w:rStyle w:val="NormalTok"/>
        </w:rPr>
        <w:t xml:space="preserve">,</w:t>
      </w:r>
      <w:r>
        <w:rPr>
          <w:rStyle w:val="StringTok"/>
        </w:rPr>
        <w:t xml:space="preserve">"gt"</w:t>
      </w:r>
      <w:r>
        <w:rPr>
          <w:rStyle w:val="NormalTok"/>
        </w:rPr>
        <w:t xml:space="preserve">,</w:t>
      </w:r>
      <w:r>
        <w:rPr>
          <w:rStyle w:val="StringTok"/>
        </w:rPr>
        <w:t xml:space="preserve">"lte"</w:t>
      </w:r>
      <w:r>
        <w:rPr>
          <w:rStyle w:val="NormalTok"/>
        </w:rPr>
        <w:t xml:space="preserve">,</w:t>
      </w:r>
      <w:r>
        <w:rPr>
          <w:rStyle w:val="StringTok"/>
        </w:rPr>
        <w:t xml:space="preserve">"gte"</w:t>
      </w:r>
      <w:r>
        <w:rPr>
          <w:rStyle w:val="NormalTok"/>
        </w:rPr>
        <w:t xml:space="preserve">,</w:t>
      </w:r>
      <w:r>
        <w:rPr>
          <w:rStyle w:val="StringTok"/>
        </w:rPr>
        <w:t xml:space="preserve">"in"</w:t>
      </w:r>
      <w:r>
        <w:rPr>
          <w:rStyle w:val="NormalTok"/>
        </w:rPr>
        <w:t xml:space="preserve">]</w:t>
      </w:r>
      <w:r>
        <w:rPr>
          <w:rStyle w:val="OperatorTok"/>
        </w:rPr>
        <w:t xml:space="preserve">;</w:t>
      </w:r>
      <w:r>
        <w:rPr>
          <w:rStyle w:val="NormalTok"/>
        </w:rPr>
        <w:t xml:space="preserve"> value: Any</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ScanFragment:</w:t>
      </w:r>
      <w:r>
        <w:br/>
      </w:r>
      <w:r>
        <w:rPr>
          <w:rStyle w:val="NormalTok"/>
        </w:rPr>
        <w:t xml:space="preserve">    placement: Placement</w:t>
      </w:r>
      <w:r>
        <w:br/>
      </w:r>
      <w:r>
        <w:rPr>
          <w:rStyle w:val="NormalTok"/>
        </w:rPr>
        <w:t xml:space="preserve">    predicates: </w:t>
      </w:r>
      <w:r>
        <w:rPr>
          <w:rStyle w:val="BuiltInTok"/>
        </w:rPr>
        <w:t xml:space="preserve">tuple</w:t>
      </w:r>
      <w:r>
        <w:rPr>
          <w:rStyle w:val="NormalTok"/>
        </w:rPr>
        <w:t xml:space="preserve">[Pred, ...] </w:t>
      </w:r>
      <w:r>
        <w:rPr>
          <w:rStyle w:val="OperatorTok"/>
        </w:rPr>
        <w:t xml:space="preserve">=</w:t>
      </w:r>
      <w:r>
        <w:rPr>
          <w:rStyle w:val="NormalTok"/>
        </w:rPr>
        <w:t xml:space="preserve"> ()</w:t>
      </w:r>
      <w:r>
        <w:br/>
      </w:r>
      <w:r>
        <w:rPr>
          <w:rStyle w:val="NormalTok"/>
        </w:rPr>
        <w:t xml:space="preserve">    projection: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None = all fields</w:t>
      </w:r>
      <w:r>
        <w:br/>
      </w:r>
      <w:r>
        <w:rPr>
          <w:rStyle w:val="NormalTok"/>
        </w:rPr>
        <w:t xml:space="preserve">    key_filter: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frozenset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bind join: (field, keys)</w:t>
      </w:r>
      <w:r>
        <w:br/>
      </w:r>
      <w:r>
        <w:rPr>
          <w:rStyle w:val="NormalTok"/>
        </w:rPr>
        <w:t xml:space="preserve">    order_by: </w:t>
      </w:r>
      <w:r>
        <w:rPr>
          <w:rStyle w:val="BuiltInTok"/>
        </w:rPr>
        <w:t xml:space="preserve">tuple</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bool</w:t>
      </w:r>
      <w:r>
        <w:rPr>
          <w:rStyle w:val="NormalTok"/>
        </w:rPr>
        <w:t xml:space="preserve">], ...] </w:t>
      </w:r>
      <w:r>
        <w:rPr>
          <w:rStyle w:val="OperatorTok"/>
        </w:rPr>
        <w:t xml:space="preserve">=</w:t>
      </w:r>
      <w:r>
        <w:rPr>
          <w:rStyle w:val="NormalTok"/>
        </w:rPr>
        <w:t xml:space="preserve"> ()</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OperatorTok"/>
        </w:rPr>
        <w:t xml:space="preserve">;</w:t>
      </w:r>
      <w:r>
        <w:rPr>
          <w:rStyle w:val="NormalTok"/>
        </w:rPr>
        <w:t xml:space="preserve"> offset: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Adapter(Protocol):</w:t>
      </w:r>
      <w:r>
        <w:br/>
      </w:r>
      <w:r>
        <w:rPr>
          <w:rStyle w:val="NormalTok"/>
        </w:rPr>
        <w:t xml:space="preserve">    name: </w:t>
      </w:r>
      <w:r>
        <w:rPr>
          <w:rStyle w:val="BuiltInTok"/>
        </w:rPr>
        <w:t xml:space="preserve">str</w:t>
      </w:r>
      <w:r>
        <w:br/>
      </w:r>
      <w:r>
        <w:rPr>
          <w:rStyle w:val="NormalTok"/>
        </w:rPr>
        <w:t xml:space="preserve">    </w:t>
      </w:r>
      <w:r>
        <w:rPr>
          <w:rStyle w:val="KeywordTok"/>
        </w:rPr>
        <w:t xml:space="preserve">def</w:t>
      </w:r>
      <w:r>
        <w:rPr>
          <w:rStyle w:val="NormalTok"/>
        </w:rPr>
        <w:t xml:space="preserve"> capabilities(</w:t>
      </w:r>
      <w:r>
        <w:rPr>
          <w:rStyle w:val="VariableTok"/>
        </w:rPr>
        <w:t xml:space="preserve">self</w:t>
      </w:r>
      <w:r>
        <w:rPr>
          <w:rStyle w:val="NormalTok"/>
        </w:rPr>
        <w:t xml:space="preserve">) </w:t>
      </w:r>
      <w:r>
        <w:rPr>
          <w:rStyle w:val="OperatorTok"/>
        </w:rPr>
        <w:t xml:space="preserve">-&gt;</w:t>
      </w:r>
      <w:r>
        <w:rPr>
          <w:rStyle w:val="NormalTok"/>
        </w:rPr>
        <w:t xml:space="preserve"> Capabilities: ...</w:t>
      </w:r>
      <w:r>
        <w:br/>
      </w:r>
      <w:r>
        <w:rPr>
          <w:rStyle w:val="NormalTok"/>
        </w:rPr>
        <w:t xml:space="preserve">    </w:t>
      </w:r>
      <w:r>
        <w:rPr>
          <w:rStyle w:val="KeywordTok"/>
        </w:rPr>
        <w:t xml:space="preserve">def</w:t>
      </w:r>
      <w:r>
        <w:rPr>
          <w:rStyle w:val="NormalTok"/>
        </w:rPr>
        <w:t xml:space="preserve"> row_count(</w:t>
      </w:r>
      <w:r>
        <w:rPr>
          <w:rStyle w:val="VariableTok"/>
        </w:rPr>
        <w:t xml:space="preserve">self</w:t>
      </w:r>
      <w:r>
        <w:rPr>
          <w:rStyle w:val="NormalTok"/>
        </w:rPr>
        <w:t xml:space="preserve">, collection: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       </w:t>
      </w:r>
      <w:r>
        <w:rPr>
          <w:rStyle w:val="CommentTok"/>
        </w:rPr>
        <w:t xml:space="preserve"># join ordering (E-2)</w:t>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 frag: ScanFragment) </w:t>
      </w:r>
      <w:r>
        <w:rPr>
          <w:rStyle w:val="OperatorTok"/>
        </w:rPr>
        <w:t xml:space="preserve">-&gt;</w:t>
      </w:r>
      <w:r>
        <w:rPr>
          <w:rStyle w:val="NormalTok"/>
        </w:rPr>
        <w:t xml:space="preserve"> Iterator[</w:t>
      </w:r>
      <w:r>
        <w:rPr>
          <w:rStyle w:val="BuiltInTok"/>
        </w:rPr>
        <w:t xml:space="preserve">list</w:t>
      </w:r>
      <w:r>
        <w:rPr>
          <w:rStyle w:val="NormalTok"/>
        </w:rPr>
        <w:t xml:space="preserve">[</w:t>
      </w:r>
      <w:r>
        <w:rPr>
          <w:rStyle w:val="BuiltInTok"/>
        </w:rPr>
        <w:t xml:space="preserve">dict</w:t>
      </w:r>
      <w:r>
        <w:rPr>
          <w:rStyle w:val="NormalTok"/>
        </w:rPr>
        <w:t xml:space="preserve">]]: ...</w:t>
      </w:r>
      <w:r>
        <w:br/>
      </w:r>
      <w:r>
        <w:rPr>
          <w:rStyle w:val="NormalTok"/>
        </w:rPr>
        <w:t xml:space="preserve">    </w:t>
      </w:r>
      <w:r>
        <w:rPr>
          <w:rStyle w:val="KeywordTok"/>
        </w:rPr>
        <w:t xml:space="preserve">def</w:t>
      </w:r>
      <w:r>
        <w:rPr>
          <w:rStyle w:val="NormalTok"/>
        </w:rPr>
        <w:t xml:space="preserve"> last_bytes(</w:t>
      </w:r>
      <w:r>
        <w:rPr>
          <w:rStyle w:val="VariableTok"/>
        </w:rPr>
        <w:t xml:space="preserve">self</w:t>
      </w:r>
      <w:r>
        <w:rPr>
          <w:rStyle w:val="NormalTok"/>
        </w:rPr>
        <w:t xml:space="preserve">) </w:t>
      </w:r>
      <w:r>
        <w:rPr>
          <w:rStyle w:val="OperatorTok"/>
        </w:rPr>
        <w:t xml:space="preserve">-&gt;</w:t>
      </w:r>
      <w:r>
        <w:rPr>
          <w:rStyle w:val="NormalTok"/>
        </w:rPr>
        <w:t xml:space="preserve"> ByteCount: ...                  </w:t>
      </w:r>
      <w:r>
        <w:rPr>
          <w:rStyle w:val="CommentTok"/>
        </w:rPr>
        <w:t xml:space="preserve"># bytes of last scan</w:t>
      </w:r>
    </w:p>
    <w:bookmarkEnd w:id="36"/>
    <w:bookmarkEnd w:id="37"/>
    <w:bookmarkStart w:id="46" w:name="data-design"/>
    <w:p>
      <w:pPr>
        <w:pStyle w:val="Heading1"/>
      </w:pPr>
      <w:r>
        <w:t xml:space="preserve">5. Data design</w:t>
      </w:r>
    </w:p>
    <w:p>
      <w:pPr>
        <w:pStyle w:val="FirstParagraph"/>
      </w:pPr>
      <w:r>
        <w:t xml:space="preserve">Five UniBench-shaped entities are placed by data model — relational entities in PostgreSQL, document entities in MongoDB — and mirrored whole into one PostgreSQL instance for the oracle and arm A2.</w:t>
      </w:r>
    </w:p>
    <w:bookmarkStart w:id="41" w:name="logical-schema"/>
    <w:p>
      <w:pPr>
        <w:pStyle w:val="Heading2"/>
      </w:pPr>
      <w:r>
        <w:t xml:space="preserve">5.1 Logical schema</w:t>
      </w:r>
    </w:p>
    <w:p>
      <w:pPr>
        <w:pStyle w:val="CaptionedFigure"/>
      </w:pPr>
      <w:r>
        <w:drawing>
          <wp:inline>
            <wp:extent cx="4754880" cy="5141145"/>
            <wp:effectExtent b="0" l="0" r="0" t="0"/>
            <wp:docPr descr="Figure 4. Logical schema (ER). Order lines are embedded in the Order document in MongoDB and a child table in the consolidated mirror." title="" id="39" name="Picture"/>
            <a:graphic>
              <a:graphicData uri="http://schemas.openxmlformats.org/drawingml/2006/picture">
                <pic:pic>
                  <pic:nvPicPr>
                    <pic:cNvPr descr="img/er.png" id="40" name="Picture"/>
                    <pic:cNvPicPr>
                      <a:picLocks noChangeArrowheads="1" noChangeAspect="1"/>
                    </pic:cNvPicPr>
                  </pic:nvPicPr>
                  <pic:blipFill>
                    <a:blip r:embed="rId38"/>
                    <a:stretch>
                      <a:fillRect/>
                    </a:stretch>
                  </pic:blipFill>
                  <pic:spPr bwMode="auto">
                    <a:xfrm>
                      <a:off x="0" y="0"/>
                      <a:ext cx="4754880" cy="5141145"/>
                    </a:xfrm>
                    <a:prstGeom prst="rect">
                      <a:avLst/>
                    </a:prstGeom>
                    <a:noFill/>
                    <a:ln w="9525">
                      <a:noFill/>
                      <a:headEnd/>
                      <a:tailEnd/>
                    </a:ln>
                  </pic:spPr>
                </pic:pic>
              </a:graphicData>
            </a:graphic>
          </wp:inline>
        </w:drawing>
      </w:r>
    </w:p>
    <w:p>
      <w:pPr>
        <w:pStyle w:val="ImageCaption"/>
      </w:pPr>
      <w:r>
        <w:t xml:space="preserve">Figure 4. Logical schema (ER). Order lines are embedded in the Order document in MongoDB and a child table in the consolidated mirror.</w:t>
      </w:r>
    </w:p>
    <w:bookmarkEnd w:id="41"/>
    <w:bookmarkStart w:id="42" w:name="X01e7c0e5df5a5398fad81a0e692da0888fd4075"/>
    <w:p>
      <w:pPr>
        <w:pStyle w:val="Heading2"/>
      </w:pPr>
      <w:r>
        <w:t xml:space="preserve">5.2 Placement map and the annotated schema (ADR-0003, proposed)</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518"/>
        <w:gridCol w:w="2316"/>
        <w:gridCol w:w="2834"/>
        <w:gridCol w:w="3122"/>
      </w:tblGrid>
      <w:tr>
        <w:trPr>
          <w:tblHeader w:val="true"/>
          <w:tblHeader w:val="true"/>
        </w:trPr>
        <w:tc>
          <w:tcPr>
            <w:tcW w:w="1518" w:type="dxa"/>
            <w:shd w:val="clear" w:color="auto" w:fill="DCE6F2"/>
          </w:tcPr>
          <w:p>
            <w:pPr>
              <w:pStyle w:val="Compact"/>
              <w:spacing w:after="20" w:before="20"/>
              <w:jc w:val="left"/>
            </w:pPr>
            <w:r>
              <w:rPr>
                <w:b/>
                <w:sz w:val="18"/>
              </w:rPr>
              <w:t xml:space="preserve">Type</w:t>
            </w:r>
          </w:p>
        </w:tc>
        <w:tc>
          <w:tcPr>
            <w:tcW w:w="2316" w:type="dxa"/>
            <w:shd w:val="clear" w:color="auto" w:fill="DCE6F2"/>
          </w:tcPr>
          <w:p>
            <w:pPr>
              <w:pStyle w:val="Compact"/>
              <w:spacing w:after="20" w:before="20"/>
              <w:jc w:val="left"/>
            </w:pPr>
            <w:r>
              <w:rPr>
                <w:b/>
                <w:sz w:val="18"/>
              </w:rPr>
              <w:t xml:space="preserve">Floor placement</w:t>
            </w:r>
          </w:p>
        </w:tc>
        <w:tc>
          <w:tcPr>
            <w:tcW w:w="2834" w:type="dxa"/>
            <w:shd w:val="clear" w:color="auto" w:fill="DCE6F2"/>
          </w:tcPr>
          <w:p>
            <w:pPr>
              <w:pStyle w:val="Compact"/>
              <w:spacing w:after="20" w:before="20"/>
              <w:jc w:val="left"/>
            </w:pPr>
            <w:r>
              <w:rPr>
                <w:b/>
                <w:sz w:val="18"/>
              </w:rPr>
              <w:t xml:space="preserve">Consolidated placement</w:t>
            </w:r>
          </w:p>
        </w:tc>
        <w:tc>
          <w:tcPr>
            <w:tcW w:w="3122" w:type="dxa"/>
            <w:shd w:val="clear" w:color="auto" w:fill="DCE6F2"/>
          </w:tcPr>
          <w:p>
            <w:pPr>
              <w:pStyle w:val="Compact"/>
              <w:spacing w:after="20" w:before="20"/>
              <w:jc w:val="left"/>
            </w:pPr>
            <w:r>
              <w:rPr>
                <w:b/>
                <w:sz w:val="18"/>
              </w:rPr>
              <w:t xml:space="preserve">Why this store</w:t>
            </w:r>
          </w:p>
        </w:tc>
      </w:tr>
      <w:tr>
        <w:tc>
          <w:tcPr>
            <w:tcW w:w="1518" w:type="dxa"/>
          </w:tcPr>
          <w:p>
            <w:pPr>
              <w:pStyle w:val="Compact"/>
              <w:spacing w:after="20" w:before="20"/>
              <w:jc w:val="left"/>
            </w:pPr>
            <w:r>
              <w:rPr>
                <w:sz w:val="18"/>
              </w:rPr>
              <w:t xml:space="preserve">Customer</w:t>
            </w:r>
          </w:p>
        </w:tc>
        <w:tc>
          <w:tcPr>
            <w:tcW w:w="2316" w:type="dxa"/>
          </w:tcPr>
          <w:p>
            <w:pPr>
              <w:pStyle w:val="Compact"/>
              <w:spacing w:after="20" w:before="20"/>
              <w:jc w:val="left"/>
            </w:pPr>
            <w:r>
              <w:rPr>
                <w:rStyle w:val="VerbatimChar"/>
                <w:sz w:val="18"/>
              </w:rPr>
              <w:t xml:space="preserve">pg-fed.customer</w:t>
            </w:r>
          </w:p>
        </w:tc>
        <w:tc>
          <w:tcPr>
            <w:tcW w:w="2834" w:type="dxa"/>
          </w:tcPr>
          <w:p>
            <w:pPr>
              <w:pStyle w:val="Compact"/>
              <w:spacing w:after="20" w:before="20"/>
              <w:jc w:val="left"/>
            </w:pPr>
            <w:r>
              <w:rPr>
                <w:rStyle w:val="VerbatimChar"/>
                <w:sz w:val="18"/>
              </w:rPr>
              <w:t xml:space="preserve">pg-cons.customer</w:t>
            </w:r>
          </w:p>
        </w:tc>
        <w:tc>
          <w:tcPr>
            <w:tcW w:w="3122" w:type="dxa"/>
          </w:tcPr>
          <w:p>
            <w:pPr>
              <w:pStyle w:val="Compact"/>
              <w:spacing w:after="20" w:before="20"/>
              <w:jc w:val="left"/>
            </w:pPr>
            <w:r>
              <w:rPr>
                <w:sz w:val="18"/>
              </w:rPr>
              <w:t xml:space="preserve">Flat, keyed, filtered by attribute</w:t>
            </w:r>
          </w:p>
        </w:tc>
      </w:tr>
      <w:tr>
        <w:tc>
          <w:tcPr>
            <w:tcW w:w="1518" w:type="dxa"/>
          </w:tcPr>
          <w:p>
            <w:pPr>
              <w:pStyle w:val="Compact"/>
              <w:spacing w:after="20" w:before="20"/>
              <w:jc w:val="left"/>
            </w:pPr>
            <w:r>
              <w:rPr>
                <w:sz w:val="18"/>
              </w:rPr>
              <w:t xml:space="preserve">Vendor</w:t>
            </w:r>
          </w:p>
        </w:tc>
        <w:tc>
          <w:tcPr>
            <w:tcW w:w="2316" w:type="dxa"/>
          </w:tcPr>
          <w:p>
            <w:pPr>
              <w:pStyle w:val="Compact"/>
              <w:spacing w:after="20" w:before="20"/>
              <w:jc w:val="left"/>
            </w:pPr>
            <w:r>
              <w:rPr>
                <w:rStyle w:val="VerbatimChar"/>
                <w:sz w:val="18"/>
              </w:rPr>
              <w:t xml:space="preserve">pg-fed.vendor</w:t>
            </w:r>
          </w:p>
        </w:tc>
        <w:tc>
          <w:tcPr>
            <w:tcW w:w="2834" w:type="dxa"/>
          </w:tcPr>
          <w:p>
            <w:pPr>
              <w:pStyle w:val="Compact"/>
              <w:spacing w:after="20" w:before="20"/>
              <w:jc w:val="left"/>
            </w:pPr>
            <w:r>
              <w:rPr>
                <w:rStyle w:val="VerbatimChar"/>
                <w:sz w:val="18"/>
              </w:rPr>
              <w:t xml:space="preserve">pg-cons.vendor</w:t>
            </w:r>
          </w:p>
        </w:tc>
        <w:tc>
          <w:tcPr>
            <w:tcW w:w="3122" w:type="dxa"/>
          </w:tcPr>
          <w:p>
            <w:pPr>
              <w:pStyle w:val="Compact"/>
              <w:spacing w:after="20" w:before="20"/>
              <w:jc w:val="left"/>
            </w:pPr>
            <w:r>
              <w:rPr>
                <w:sz w:val="18"/>
              </w:rPr>
              <w:t xml:space="preserve">Flat reference data</w:t>
            </w:r>
          </w:p>
        </w:tc>
      </w:tr>
      <w:tr>
        <w:tc>
          <w:tcPr>
            <w:tcW w:w="1518" w:type="dxa"/>
          </w:tcPr>
          <w:p>
            <w:pPr>
              <w:pStyle w:val="Compact"/>
              <w:spacing w:after="20" w:before="20"/>
              <w:jc w:val="left"/>
            </w:pPr>
            <w:r>
              <w:rPr>
                <w:sz w:val="18"/>
              </w:rPr>
              <w:t xml:space="preserve">Product</w:t>
            </w:r>
          </w:p>
        </w:tc>
        <w:tc>
          <w:tcPr>
            <w:tcW w:w="2316" w:type="dxa"/>
          </w:tcPr>
          <w:p>
            <w:pPr>
              <w:pStyle w:val="Compact"/>
              <w:spacing w:after="20" w:before="20"/>
              <w:jc w:val="left"/>
            </w:pPr>
            <w:r>
              <w:rPr>
                <w:rStyle w:val="VerbatimChar"/>
                <w:sz w:val="18"/>
              </w:rPr>
              <w:t xml:space="preserve">pg-fed.product</w:t>
            </w:r>
          </w:p>
        </w:tc>
        <w:tc>
          <w:tcPr>
            <w:tcW w:w="2834" w:type="dxa"/>
          </w:tcPr>
          <w:p>
            <w:pPr>
              <w:pStyle w:val="Compact"/>
              <w:spacing w:after="20" w:before="20"/>
              <w:jc w:val="left"/>
            </w:pPr>
            <w:r>
              <w:rPr>
                <w:rStyle w:val="VerbatimChar"/>
                <w:sz w:val="18"/>
              </w:rPr>
              <w:t xml:space="preserve">pg-cons.product</w:t>
            </w:r>
          </w:p>
        </w:tc>
        <w:tc>
          <w:tcPr>
            <w:tcW w:w="3122" w:type="dxa"/>
          </w:tcPr>
          <w:p>
            <w:pPr>
              <w:pStyle w:val="Compact"/>
              <w:spacing w:after="20" w:before="20"/>
              <w:jc w:val="left"/>
            </w:pPr>
            <w:r>
              <w:rPr>
                <w:sz w:val="18"/>
              </w:rPr>
              <w:t xml:space="preserve">Flat, joined to vendor</w:t>
            </w:r>
          </w:p>
        </w:tc>
      </w:tr>
      <w:tr>
        <w:tc>
          <w:tcPr>
            <w:tcW w:w="1518" w:type="dxa"/>
          </w:tcPr>
          <w:p>
            <w:pPr>
              <w:pStyle w:val="Compact"/>
              <w:spacing w:after="20" w:before="20"/>
              <w:jc w:val="left"/>
            </w:pPr>
            <w:r>
              <w:rPr>
                <w:sz w:val="18"/>
              </w:rPr>
              <w:t xml:space="preserve">Order</w:t>
            </w:r>
          </w:p>
        </w:tc>
        <w:tc>
          <w:tcPr>
            <w:tcW w:w="2316" w:type="dxa"/>
          </w:tcPr>
          <w:p>
            <w:pPr>
              <w:pStyle w:val="Compact"/>
              <w:spacing w:after="20" w:before="20"/>
              <w:jc w:val="left"/>
            </w:pPr>
            <w:r>
              <w:rPr>
                <w:rStyle w:val="VerbatimChar"/>
                <w:sz w:val="18"/>
              </w:rPr>
              <w:t xml:space="preserve">mongo-fed.orders</w:t>
            </w:r>
          </w:p>
        </w:tc>
        <w:tc>
          <w:tcPr>
            <w:tcW w:w="2834" w:type="dxa"/>
          </w:tcPr>
          <w:p>
            <w:pPr>
              <w:pStyle w:val="Compact"/>
              <w:spacing w:after="20" w:before="20"/>
              <w:jc w:val="left"/>
            </w:pPr>
            <w:r>
              <w:rPr>
                <w:rStyle w:val="VerbatimChar"/>
                <w:sz w:val="18"/>
              </w:rPr>
              <w:t xml:space="preserve">pg-cons.orders</w:t>
            </w:r>
            <w:r>
              <w:rPr>
                <w:sz w:val="18"/>
              </w:rPr>
              <w:t xml:space="preserve"> </w:t>
            </w:r>
            <w:r>
              <w:rPr>
                <w:sz w:val="18"/>
              </w:rPr>
              <w:t xml:space="preserve">+</w:t>
            </w:r>
            <w:r>
              <w:rPr>
                <w:sz w:val="18"/>
              </w:rPr>
              <w:t xml:space="preserve"> </w:t>
            </w:r>
            <w:r>
              <w:rPr>
                <w:rStyle w:val="VerbatimChar"/>
                <w:sz w:val="18"/>
              </w:rPr>
              <w:t xml:space="preserve">order_line</w:t>
            </w:r>
          </w:p>
        </w:tc>
        <w:tc>
          <w:tcPr>
            <w:tcW w:w="3122" w:type="dxa"/>
          </w:tcPr>
          <w:p>
            <w:pPr>
              <w:pStyle w:val="Compact"/>
              <w:spacing w:after="20" w:before="20"/>
              <w:jc w:val="left"/>
            </w:pPr>
            <w:r>
              <w:rPr>
                <w:sz w:val="18"/>
              </w:rPr>
              <w:t xml:space="preserve">Nested order lines: natural document</w:t>
            </w:r>
          </w:p>
        </w:tc>
      </w:tr>
      <w:tr>
        <w:tc>
          <w:tcPr>
            <w:tcW w:w="1518" w:type="dxa"/>
          </w:tcPr>
          <w:p>
            <w:pPr>
              <w:pStyle w:val="Compact"/>
              <w:spacing w:after="20" w:before="20"/>
              <w:jc w:val="left"/>
            </w:pPr>
            <w:r>
              <w:rPr>
                <w:sz w:val="18"/>
              </w:rPr>
              <w:t xml:space="preserve">Feedback</w:t>
            </w:r>
          </w:p>
        </w:tc>
        <w:tc>
          <w:tcPr>
            <w:tcW w:w="2316" w:type="dxa"/>
          </w:tcPr>
          <w:p>
            <w:pPr>
              <w:pStyle w:val="Compact"/>
              <w:spacing w:after="20" w:before="20"/>
              <w:jc w:val="left"/>
            </w:pPr>
            <w:r>
              <w:rPr>
                <w:rStyle w:val="VerbatimChar"/>
                <w:sz w:val="18"/>
              </w:rPr>
              <w:t xml:space="preserve">mongo-fed.feedback</w:t>
            </w:r>
          </w:p>
        </w:tc>
        <w:tc>
          <w:tcPr>
            <w:tcW w:w="2834" w:type="dxa"/>
          </w:tcPr>
          <w:p>
            <w:pPr>
              <w:pStyle w:val="Compact"/>
              <w:spacing w:after="20" w:before="20"/>
              <w:jc w:val="left"/>
            </w:pPr>
            <w:r>
              <w:rPr>
                <w:rStyle w:val="VerbatimChar"/>
                <w:sz w:val="18"/>
              </w:rPr>
              <w:t xml:space="preserve">pg-cons.feedback</w:t>
            </w:r>
            <w:r>
              <w:rPr>
                <w:sz w:val="18"/>
              </w:rPr>
              <w:t xml:space="preserve"> </w:t>
            </w:r>
            <w:r>
              <w:rPr>
                <w:sz w:val="18"/>
              </w:rPr>
              <w:t xml:space="preserve">(text column)</w:t>
            </w:r>
          </w:p>
        </w:tc>
        <w:tc>
          <w:tcPr>
            <w:tcW w:w="3122" w:type="dxa"/>
          </w:tcPr>
          <w:p>
            <w:pPr>
              <w:pStyle w:val="Compact"/>
              <w:spacing w:after="20" w:before="20"/>
              <w:jc w:val="left"/>
            </w:pPr>
            <w:r>
              <w:rPr>
                <w:sz w:val="18"/>
              </w:rPr>
              <w:t xml:space="preserve">Semi-structured review text</w:t>
            </w:r>
          </w:p>
        </w:tc>
      </w:tr>
    </w:tbl>
    <w:p>
      <w:pPr>
        <w:pStyle w:val="SourceCode"/>
      </w:pPr>
      <w:r>
        <w:rPr>
          <w:rStyle w:val="NormalTok"/>
        </w:rPr>
        <w:t xml:space="preserve">directive </w:t>
      </w:r>
      <w:r>
        <w:rPr>
          <w:rStyle w:val="AttributeTok"/>
        </w:rPr>
        <w:t xml:space="preserve">@store</w:t>
      </w:r>
      <w:r>
        <w:rPr>
          <w:rStyle w:val="NormalTok"/>
        </w:rPr>
        <w:t xml:space="preserve">(backend: </w:t>
      </w:r>
      <w:r>
        <w:rPr>
          <w:rStyle w:val="DataTypeTok"/>
        </w:rPr>
        <w:t xml:space="preserve">String</w:t>
      </w:r>
      <w:r>
        <w:rPr>
          <w:rStyle w:val="NormalTok"/>
        </w:rPr>
        <w:t xml:space="preserve">!, collection: </w:t>
      </w:r>
      <w:r>
        <w:rPr>
          <w:rStyle w:val="DataTypeTok"/>
        </w:rPr>
        <w:t xml:space="preserve">String</w:t>
      </w:r>
      <w:r>
        <w:rPr>
          <w:rStyle w:val="NormalTok"/>
        </w:rPr>
        <w:t xml:space="preserve">, key: </w:t>
      </w:r>
      <w:r>
        <w:rPr>
          <w:rStyle w:val="DataTypeTok"/>
        </w:rPr>
        <w:t xml:space="preserve">String</w:t>
      </w:r>
      <w:r>
        <w:rPr>
          <w:rStyle w:val="NormalTok"/>
        </w:rPr>
        <w:t xml:space="preserve"> = </w:t>
      </w:r>
      <w:r>
        <w:rPr>
          <w:rStyle w:val="StringTok"/>
        </w:rPr>
        <w:t xml:space="preserve">"id"</w:t>
      </w:r>
      <w:r>
        <w:rPr>
          <w:rStyle w:val="NormalTok"/>
        </w:rPr>
        <w:t xml:space="preserve">) </w:t>
      </w:r>
      <w:r>
        <w:rPr>
          <w:rStyle w:val="KeywordTok"/>
        </w:rPr>
        <w:t xml:space="preserve">on</w:t>
      </w:r>
      <w:r>
        <w:rPr>
          <w:rStyle w:val="NormalTok"/>
        </w:rPr>
        <w:t xml:space="preserve"> OBJECT</w:t>
      </w:r>
      <w:r>
        <w:br/>
      </w:r>
      <w:r>
        <w:rPr>
          <w:rStyle w:val="NormalTok"/>
        </w:rPr>
        <w:t xml:space="preserve">directive </w:t>
      </w:r>
      <w:r>
        <w:rPr>
          <w:rStyle w:val="AttributeTok"/>
        </w:rPr>
        <w:t xml:space="preserve">@ref</w:t>
      </w:r>
      <w:r>
        <w:rPr>
          <w:rStyle w:val="NormalTok"/>
        </w:rPr>
        <w:t xml:space="preserve">(localKey: </w:t>
      </w:r>
      <w:r>
        <w:rPr>
          <w:rStyle w:val="DataTypeTok"/>
        </w:rPr>
        <w:t xml:space="preserve">String</w:t>
      </w:r>
      <w:r>
        <w:rPr>
          <w:rStyle w:val="NormalTok"/>
        </w:rPr>
        <w:t xml:space="preserve">!, remoteKey: </w:t>
      </w:r>
      <w:r>
        <w:rPr>
          <w:rStyle w:val="DataTypeTok"/>
        </w:rPr>
        <w:t xml:space="preserve">String</w:t>
      </w:r>
      <w:r>
        <w:rPr>
          <w:rStyle w:val="NormalTok"/>
        </w:rPr>
        <w:t xml:space="preserve">!) </w:t>
      </w:r>
      <w:r>
        <w:rPr>
          <w:rStyle w:val="KeywordTok"/>
        </w:rPr>
        <w:t xml:space="preserve">on</w:t>
      </w:r>
      <w:r>
        <w:rPr>
          <w:rStyle w:val="NormalTok"/>
        </w:rPr>
        <w:t xml:space="preserve"> FIELD_DEFINITION</w:t>
      </w:r>
      <w:r>
        <w:br/>
      </w:r>
      <w:r>
        <w:br/>
      </w:r>
      <w:r>
        <w:rPr>
          <w:rStyle w:val="KeywordTok"/>
        </w:rPr>
        <w:t xml:space="preserve">type</w:t>
      </w:r>
      <w:r>
        <w:rPr>
          <w:rStyle w:val="NormalTok"/>
        </w:rPr>
        <w:t xml:space="preserve"> Customer </w:t>
      </w:r>
      <w:r>
        <w:rPr>
          <w:rStyle w:val="AttributeTok"/>
        </w:rPr>
        <w:t xml:space="preserve">@store</w:t>
      </w:r>
      <w:r>
        <w:rPr>
          <w:rStyle w:val="NormalTok"/>
        </w:rPr>
        <w:t xml:space="preserve">(backend: </w:t>
      </w:r>
      <w:r>
        <w:rPr>
          <w:rStyle w:val="StringTok"/>
        </w:rPr>
        <w:t xml:space="preserve">"pg"</w:t>
      </w:r>
      <w:r>
        <w:rPr>
          <w:rStyle w:val="NormalTok"/>
        </w:rPr>
        <w:t xml:space="preserve">, collection: </w:t>
      </w:r>
      <w:r>
        <w:rPr>
          <w:rStyle w:val="StringTok"/>
        </w:rPr>
        <w:t xml:space="preserve">"customer"</w:t>
      </w:r>
      <w:r>
        <w:rPr>
          <w:rStyle w:val="NormalTok"/>
        </w:rPr>
        <w:t xml:space="preserve">) {</w:t>
      </w:r>
      <w:r>
        <w:br/>
      </w:r>
      <w:r>
        <w:rPr>
          <w:rStyle w:val="NormalTok"/>
        </w:rPr>
        <w:t xml:space="preserve">  id: </w:t>
      </w:r>
      <w:r>
        <w:rPr>
          <w:rStyle w:val="DataTypeTok"/>
        </w:rPr>
        <w:t xml:space="preserve">ID</w:t>
      </w:r>
      <w:r>
        <w:rPr>
          <w:rStyle w:val="NormalTok"/>
        </w:rPr>
        <w:t xml:space="preserve">!</w:t>
      </w:r>
      <w:r>
        <w:br/>
      </w:r>
      <w:r>
        <w:rPr>
          <w:rStyle w:val="NormalTok"/>
        </w:rPr>
        <w:t xml:space="preserve">  email: </w:t>
      </w:r>
      <w:r>
        <w:rPr>
          <w:rStyle w:val="DataTypeTok"/>
        </w:rPr>
        <w:t xml:space="preserve">String</w:t>
      </w:r>
      <w:r>
        <w:rPr>
          <w:rStyle w:val="NormalTok"/>
        </w:rPr>
        <w:t xml:space="preserve">!</w:t>
      </w:r>
      <w:r>
        <w:br/>
      </w:r>
      <w:r>
        <w:rPr>
          <w:rStyle w:val="NormalTok"/>
        </w:rPr>
        <w:t xml:space="preserve">  country: </w:t>
      </w:r>
      <w:r>
        <w:rPr>
          <w:rStyle w:val="DataTypeTok"/>
        </w:rPr>
        <w:t xml:space="preserve">String</w:t>
      </w:r>
      <w:r>
        <w:rPr>
          <w:rStyle w:val="NormalTok"/>
        </w:rPr>
        <w:t xml:space="preserve">!</w:t>
      </w:r>
      <w:r>
        <w:br/>
      </w:r>
      <w:r>
        <w:rPr>
          <w:rStyle w:val="NormalTok"/>
        </w:rPr>
        <w:t xml:space="preserve">  orders: [Order!]! </w:t>
      </w:r>
      <w:r>
        <w:rPr>
          <w:rStyle w:val="AttributeTok"/>
        </w:rPr>
        <w:t xml:space="preserve">@ref</w:t>
      </w:r>
      <w:r>
        <w:rPr>
          <w:rStyle w:val="NormalTok"/>
        </w:rPr>
        <w:t xml:space="preserve">(localKey: </w:t>
      </w:r>
      <w:r>
        <w:rPr>
          <w:rStyle w:val="StringTok"/>
        </w:rPr>
        <w:t xml:space="preserve">"id"</w:t>
      </w:r>
      <w:r>
        <w:rPr>
          <w:rStyle w:val="NormalTok"/>
        </w:rPr>
        <w:t xml:space="preserve">, remoteKey: </w:t>
      </w:r>
      <w:r>
        <w:rPr>
          <w:rStyle w:val="StringTok"/>
        </w:rPr>
        <w:t xml:space="preserve">"customerId"</w:t>
      </w:r>
      <w:r>
        <w:rPr>
          <w:rStyle w:val="NormalTok"/>
        </w:rPr>
        <w:t xml:space="preserve">)</w:t>
      </w:r>
      <w:r>
        <w:br/>
      </w:r>
      <w:r>
        <w:rPr>
          <w:rStyle w:val="NormalTok"/>
        </w:rPr>
        <w:t xml:space="preserve">}</w:t>
      </w:r>
      <w:r>
        <w:br/>
      </w:r>
      <w:r>
        <w:br/>
      </w:r>
      <w:r>
        <w:rPr>
          <w:rStyle w:val="KeywordTok"/>
        </w:rPr>
        <w:t xml:space="preserve">type</w:t>
      </w:r>
      <w:r>
        <w:rPr>
          <w:rStyle w:val="NormalTok"/>
        </w:rPr>
        <w:t xml:space="preserve"> Order </w:t>
      </w:r>
      <w:r>
        <w:rPr>
          <w:rStyle w:val="AttributeTok"/>
        </w:rPr>
        <w:t xml:space="preserve">@store</w:t>
      </w:r>
      <w:r>
        <w:rPr>
          <w:rStyle w:val="NormalTok"/>
        </w:rPr>
        <w:t xml:space="preserve">(backend: </w:t>
      </w:r>
      <w:r>
        <w:rPr>
          <w:rStyle w:val="StringTok"/>
        </w:rPr>
        <w:t xml:space="preserve">"mongo"</w:t>
      </w:r>
      <w:r>
        <w:rPr>
          <w:rStyle w:val="NormalTok"/>
        </w:rPr>
        <w:t xml:space="preserve">, collection: </w:t>
      </w:r>
      <w:r>
        <w:rPr>
          <w:rStyle w:val="StringTok"/>
        </w:rPr>
        <w:t xml:space="preserve">"orders"</w:t>
      </w:r>
      <w:r>
        <w:rPr>
          <w:rStyle w:val="NormalTok"/>
        </w:rPr>
        <w:t xml:space="preserve">) {</w:t>
      </w:r>
      <w:r>
        <w:br/>
      </w:r>
      <w:r>
        <w:rPr>
          <w:rStyle w:val="NormalTok"/>
        </w:rPr>
        <w:t xml:space="preserve">  id: </w:t>
      </w:r>
      <w:r>
        <w:rPr>
          <w:rStyle w:val="DataTypeTok"/>
        </w:rPr>
        <w:t xml:space="preserve">ID</w:t>
      </w:r>
      <w:r>
        <w:rPr>
          <w:rStyle w:val="NormalTok"/>
        </w:rPr>
        <w:t xml:space="preserve">!</w:t>
      </w:r>
      <w:r>
        <w:br/>
      </w:r>
      <w:r>
        <w:rPr>
          <w:rStyle w:val="NormalTok"/>
        </w:rPr>
        <w:t xml:space="preserve">  customerId: </w:t>
      </w:r>
      <w:r>
        <w:rPr>
          <w:rStyle w:val="DataTypeTok"/>
        </w:rPr>
        <w:t xml:space="preserve">ID</w:t>
      </w:r>
      <w:r>
        <w:rPr>
          <w:rStyle w:val="NormalTok"/>
        </w:rPr>
        <w:t xml:space="preserve">!</w:t>
      </w:r>
      <w:r>
        <w:br/>
      </w:r>
      <w:r>
        <w:rPr>
          <w:rStyle w:val="NormalTok"/>
        </w:rPr>
        <w:t xml:space="preserve">  totalCents: </w:t>
      </w:r>
      <w:r>
        <w:rPr>
          <w:rStyle w:val="DataTypeTok"/>
        </w:rPr>
        <w:t xml:space="preserve">Int</w:t>
      </w:r>
      <w:r>
        <w:rPr>
          <w:rStyle w:val="NormalTok"/>
        </w:rPr>
        <w:t xml:space="preserve">!</w:t>
      </w:r>
      <w:r>
        <w:br/>
      </w:r>
      <w:r>
        <w:rPr>
          <w:rStyle w:val="NormalTok"/>
        </w:rPr>
        <w:t xml:space="preserve">  lines: [OrderLine!]!          </w:t>
      </w:r>
      <w:r>
        <w:rPr>
          <w:rStyle w:val="CommentTok"/>
        </w:rPr>
        <w:t xml:space="preserve"># embedded, same store: no @ref</w:t>
      </w:r>
      <w:r>
        <w:br/>
      </w:r>
      <w:r>
        <w:rPr>
          <w:rStyle w:val="NormalTok"/>
        </w:rPr>
        <w:t xml:space="preserve">  customer: Customer! </w:t>
      </w:r>
      <w:r>
        <w:rPr>
          <w:rStyle w:val="AttributeTok"/>
        </w:rPr>
        <w:t xml:space="preserve">@ref</w:t>
      </w:r>
      <w:r>
        <w:rPr>
          <w:rStyle w:val="NormalTok"/>
        </w:rPr>
        <w:t xml:space="preserve">(localKey: </w:t>
      </w:r>
      <w:r>
        <w:rPr>
          <w:rStyle w:val="StringTok"/>
        </w:rPr>
        <w:t xml:space="preserve">"customerId"</w:t>
      </w:r>
      <w:r>
        <w:rPr>
          <w:rStyle w:val="NormalTok"/>
        </w:rPr>
        <w:t xml:space="preserve">, remoteKey: </w:t>
      </w:r>
      <w:r>
        <w:rPr>
          <w:rStyle w:val="StringTok"/>
        </w:rPr>
        <w:t xml:space="preserve">"id"</w:t>
      </w:r>
      <w:r>
        <w:rPr>
          <w:rStyle w:val="NormalTok"/>
        </w:rPr>
        <w:t xml:space="preserve">)</w:t>
      </w:r>
      <w:r>
        <w:br/>
      </w:r>
      <w:r>
        <w:rPr>
          <w:rStyle w:val="NormalTok"/>
        </w:rPr>
        <w:t xml:space="preserve">}</w:t>
      </w:r>
    </w:p>
    <w:p>
      <w:pPr>
        <w:pStyle w:val="FirstParagraph"/>
      </w:pPr>
      <w:r>
        <w:rPr>
          <w:bCs/>
          <w:b/>
        </w:rPr>
        <w:t xml:space="preserve">Change from HS1 §6.3.</w:t>
      </w:r>
      <w:r>
        <w:t xml:space="preserve"> </w:t>
      </w:r>
      <w:r>
        <w:t xml:space="preserve">HS1 put</w:t>
      </w:r>
      <w:r>
        <w:t xml:space="preserve"> </w:t>
      </w:r>
      <w:r>
        <w:rPr>
          <w:rStyle w:val="VerbatimChar"/>
        </w:rPr>
        <w:t xml:space="preserve">@store</w:t>
      </w:r>
      <w:r>
        <w:t xml:space="preserve"> </w:t>
      </w:r>
      <w:r>
        <w:t xml:space="preserve">on the relationship field (</w:t>
      </w:r>
      <w:r>
        <w:rPr>
          <w:rStyle w:val="VerbatimChar"/>
        </w:rPr>
        <w:t xml:space="preserve">orders: [Order!]! @store(name: "mongo")</w:t>
      </w:r>
      <w:r>
        <w:t xml:space="preserve">). That duplicated</w:t>
      </w:r>
      <w:r>
        <w:t xml:space="preserve"> </w:t>
      </w:r>
      <w:r>
        <w:rPr>
          <w:rStyle w:val="VerbatimChar"/>
        </w:rPr>
        <w:t xml:space="preserve">Order</w:t>
      </w:r>
      <w:r>
        <w:t xml:space="preserve">’s own placement and still gave the engine no join key. Placement now lives only on the type; a field crosses a process boundary exactly when its target type’s</w:t>
      </w:r>
      <w:r>
        <w:t xml:space="preserve"> </w:t>
      </w:r>
      <w:r>
        <w:rPr>
          <w:rStyle w:val="VerbatimChar"/>
        </w:rPr>
        <w:t xml:space="preserve">@store</w:t>
      </w:r>
      <w:r>
        <w:t xml:space="preserve"> </w:t>
      </w:r>
      <w:r>
        <w:t xml:space="preserve">differs from its owner’s, which the resolver computes and the schema reader can see. Rejected alternatives recorded in ADR-0003: field-level</w:t>
      </w:r>
      <w:r>
        <w:t xml:space="preserve"> </w:t>
      </w:r>
      <w:r>
        <w:rPr>
          <w:rStyle w:val="VerbatimChar"/>
        </w:rPr>
        <w:t xml:space="preserve">@store</w:t>
      </w:r>
      <w:r>
        <w:t xml:space="preserve"> </w:t>
      </w:r>
      <w:r>
        <w:t xml:space="preserve">(duplicated, can disagree), a single</w:t>
      </w:r>
      <w:r>
        <w:t xml:space="preserve"> </w:t>
      </w:r>
      <w:r>
        <w:rPr>
          <w:rStyle w:val="VerbatimChar"/>
        </w:rPr>
        <w:t xml:space="preserve">@store(on:)</w:t>
      </w:r>
      <w:r>
        <w:t xml:space="preserve"> </w:t>
      </w:r>
      <w:r>
        <w:t xml:space="preserve">carrying join keys (overloads one directive with two concepts), placement by naming convention (invisible, the opposite of the design claim).</w:t>
      </w:r>
    </w:p>
    <w:p>
      <w:pPr>
        <w:pStyle w:val="BodyText"/>
      </w:pPr>
      <w:r>
        <w:t xml:space="preserve">The derived operation surface (</w:t>
      </w:r>
      <w:r>
        <w:rPr>
          <w:rStyle w:val="VerbatimChar"/>
        </w:rPr>
        <w:t xml:space="preserve">customers(where:, limit:, offset:, orderBy:)</w:t>
      </w:r>
      <w:r>
        <w:t xml:space="preserve">,</w:t>
      </w:r>
      <w:r>
        <w:t xml:space="preserve"> </w:t>
      </w:r>
      <w:r>
        <w:rPr>
          <w:rStyle w:val="VerbatimChar"/>
        </w:rPr>
        <w:t xml:space="preserve">ordersAggregate(where:, groupBy:)</w:t>
      </w:r>
      <w:r>
        <w:t xml:space="preserve">) is generated by the resolver from these types, so the developer writes no root</w:t>
      </w:r>
      <w:r>
        <w:t xml:space="preserve"> </w:t>
      </w:r>
      <w:r>
        <w:rPr>
          <w:rStyle w:val="VerbatimChar"/>
        </w:rPr>
        <w:t xml:space="preserve">Query</w:t>
      </w:r>
      <w:r>
        <w:t xml:space="preserve"> </w:t>
      </w:r>
      <w:r>
        <w:t xml:space="preserve">fields. Connection strings stay out of the schema in</w:t>
      </w:r>
      <w:r>
        <w:t xml:space="preserve"> </w:t>
      </w:r>
      <w:r>
        <w:rPr>
          <w:rStyle w:val="VerbatimChar"/>
        </w:rPr>
        <w:t xml:space="preserve">backends.toml</w:t>
      </w:r>
      <w:r>
        <w:t xml:space="preserve">; that file is counted in SC-6.</w:t>
      </w:r>
    </w:p>
    <w:bookmarkEnd w:id="42"/>
    <w:bookmarkStart w:id="43" w:name="workload-data-seeded-generator-adr-0005"/>
    <w:p>
      <w:pPr>
        <w:pStyle w:val="Heading2"/>
      </w:pPr>
      <w:r>
        <w:t xml:space="preserve">5.3 Workload data: seeded generator (ADR-0005)</w:t>
      </w:r>
    </w:p>
    <w:p>
      <w:pPr>
        <w:pStyle w:val="FirstParagraph"/>
      </w:pPr>
      <w:r>
        <w:t xml:space="preserve">UniBench’s repository carries no licence file, and its README says the data comes from the LDBC, DBpedia and Amazon product datasets, used for academic research. The Amazon-derived reviews are real people’s text, which breaks HS1 assumption A5. The design therefore keeps UniBench’s schema and query shapes and replaces its data:</w:t>
      </w:r>
    </w:p>
    <w:p>
      <w:pPr>
        <w:numPr>
          <w:ilvl w:val="0"/>
          <w:numId w:val="1002"/>
        </w:numPr>
        <w:pStyle w:val="Compact"/>
      </w:pPr>
      <w:r>
        <w:rPr>
          <w:bCs/>
          <w:b/>
        </w:rPr>
        <w:t xml:space="preserve">Generator</w:t>
      </w:r>
      <w:r>
        <w:t xml:space="preserve"> </w:t>
      </w:r>
      <w:r>
        <w:rPr>
          <w:rStyle w:val="VerbatimChar"/>
        </w:rPr>
        <w:t xml:space="preserve">bench/data/gen.py</w:t>
      </w:r>
      <w:r>
        <w:t xml:space="preserve">, pure Python,</w:t>
      </w:r>
      <w:r>
        <w:t xml:space="preserve"> </w:t>
      </w:r>
      <w:r>
        <w:rPr>
          <w:rStyle w:val="VerbatimChar"/>
        </w:rPr>
        <w:t xml:space="preserve">numpy.random.Generator(PCG64(seed))</w:t>
      </w:r>
      <w:r>
        <w:t xml:space="preserve">. Same seed → byte-identical output (tested, T-D1).</w:t>
      </w:r>
    </w:p>
    <w:p>
      <w:pPr>
        <w:numPr>
          <w:ilvl w:val="0"/>
          <w:numId w:val="1002"/>
        </w:numPr>
        <w:pStyle w:val="Compact"/>
      </w:pPr>
      <w:r>
        <w:rPr>
          <w:bCs/>
          <w:b/>
        </w:rPr>
        <w:t xml:space="preserve">Scale parameter S.</w:t>
      </w:r>
      <w:r>
        <w:t xml:space="preserve"> </w:t>
      </w:r>
      <w:r>
        <w:t xml:space="preserve">Entity ratios are taken from the row counts of the UniBench SF1 release (counts only, recorded in</w:t>
      </w:r>
      <w:r>
        <w:t xml:space="preserve"> </w:t>
      </w:r>
      <w:r>
        <w:rPr>
          <w:rStyle w:val="VerbatimChar"/>
        </w:rPr>
        <w:t xml:space="preserve">bench/data/ratios.json</w:t>
      </w:r>
      <w:r>
        <w:t xml:space="preserve">; no UniBench data is committed). Default S = 1 for development; measurement scale fixed at the midpoint baseline.</w:t>
      </w:r>
    </w:p>
    <w:p>
      <w:pPr>
        <w:numPr>
          <w:ilvl w:val="0"/>
          <w:numId w:val="1002"/>
        </w:numPr>
        <w:pStyle w:val="Compact"/>
      </w:pPr>
      <w:r>
        <w:rPr>
          <w:bCs/>
          <w:b/>
        </w:rPr>
        <w:t xml:space="preserve">Selectivity control.</w:t>
      </w:r>
      <w:r>
        <w:t xml:space="preserve"> </w:t>
      </w:r>
      <w:r>
        <w:t xml:space="preserve">Every</w:t>
      </w:r>
      <w:r>
        <w:t xml:space="preserve"> </w:t>
      </w:r>
      <w:r>
        <w:rPr>
          <w:rStyle w:val="VerbatimChar"/>
        </w:rPr>
        <w:t xml:space="preserve">Customer</w:t>
      </w:r>
      <w:r>
        <w:t xml:space="preserve"> </w:t>
      </w:r>
      <w:r>
        <w:t xml:space="preserve">gets</w:t>
      </w:r>
      <w:r>
        <w:t xml:space="preserve"> </w:t>
      </w:r>
      <w:r>
        <w:rPr>
          <w:rStyle w:val="VerbatimChar"/>
        </w:rPr>
        <w:t xml:space="preserve">sel</w:t>
      </w:r>
      <w:r>
        <w:t xml:space="preserve">, uniform on 0–9,999. The predicate</w:t>
      </w:r>
      <w:r>
        <w:t xml:space="preserve"> </w:t>
      </w:r>
      <w:r>
        <w:rPr>
          <w:rStyle w:val="VerbatimChar"/>
        </w:rPr>
        <w:t xml:space="preserve">sel &lt; t</w:t>
      </w:r>
      <w:r>
        <w:t xml:space="preserve"> </w:t>
      </w:r>
      <w:r>
        <w:t xml:space="preserve">returns t/10,000 of customers in expectation, so k (§6.6) is set by t rather than by searching for natural predicates.</w:t>
      </w:r>
    </w:p>
    <w:p>
      <w:pPr>
        <w:numPr>
          <w:ilvl w:val="0"/>
          <w:numId w:val="1002"/>
        </w:numPr>
        <w:pStyle w:val="Compact"/>
      </w:pPr>
      <w:r>
        <w:rPr>
          <w:bCs/>
          <w:b/>
        </w:rPr>
        <w:t xml:space="preserve">Skew option.</w:t>
      </w:r>
      <w:r>
        <w:t xml:space="preserve"> </w:t>
      </w:r>
      <w:r>
        <w:t xml:space="preserve">Orders per customer are drawn from a Zipf distribution (exponent recorded per run) so the join fan-out is realistic; uniform fan-out is a secondary configuration.</w:t>
      </w:r>
    </w:p>
    <w:p>
      <w:pPr>
        <w:numPr>
          <w:ilvl w:val="0"/>
          <w:numId w:val="1002"/>
        </w:numPr>
        <w:pStyle w:val="Compact"/>
      </w:pPr>
      <w:r>
        <w:rPr>
          <w:bCs/>
          <w:b/>
        </w:rPr>
        <w:t xml:space="preserve">Text.</w:t>
      </w:r>
      <w:r>
        <w:t xml:space="preserve"> </w:t>
      </w:r>
      <w:r>
        <w:t xml:space="preserve">Feedback text is drawn from a fixed synthetic vocabulary; names and emails are generated tokens (</w:t>
      </w:r>
      <w:r>
        <w:rPr>
          <w:rStyle w:val="VerbatimChar"/>
        </w:rPr>
        <w:t xml:space="preserve">c000123@example.invalid</w:t>
      </w:r>
      <w:r>
        <w:t xml:space="preserve">).</w:t>
      </w:r>
    </w:p>
    <w:p>
      <w:pPr>
        <w:numPr>
          <w:ilvl w:val="0"/>
          <w:numId w:val="1002"/>
        </w:numPr>
        <w:pStyle w:val="Compact"/>
      </w:pPr>
      <w:r>
        <w:rPr>
          <w:bCs/>
          <w:b/>
        </w:rPr>
        <w:t xml:space="preserve">Nothing generated is committed.</w:t>
      </w:r>
      <w:r>
        <w:t xml:space="preserve"> </w:t>
      </w:r>
      <w:r>
        <w:t xml:space="preserve">The repository holds the generator, the seed list and the checksums;</w:t>
      </w:r>
      <w:r>
        <w:t xml:space="preserve"> </w:t>
      </w:r>
      <w:r>
        <w:rPr>
          <w:rStyle w:val="VerbatimChar"/>
        </w:rPr>
        <w:t xml:space="preserve">make data</w:t>
      </w:r>
      <w:r>
        <w:t xml:space="preserve"> </w:t>
      </w:r>
      <w:r>
        <w:t xml:space="preserve">regenerates.</w:t>
      </w:r>
    </w:p>
    <w:bookmarkEnd w:id="43"/>
    <w:bookmarkStart w:id="44" w:name="X5461536a8622768aa98d3debfca07cb581c07c6"/>
    <w:p>
      <w:pPr>
        <w:pStyle w:val="Heading2"/>
      </w:pPr>
      <w:r>
        <w:t xml:space="preserve">5.4 Representation rules that keep both placements equal</w:t>
      </w:r>
    </w:p>
    <w:p>
      <w:pPr>
        <w:pStyle w:val="FirstParagraph"/>
      </w:pPr>
      <w:r>
        <w:t xml:space="preserve">These rules exist because each is a known source of false oracle divergences between PostgreSQL and MongoDB.</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3005"/>
        <w:gridCol w:w="6786"/>
      </w:tblGrid>
      <w:tr>
        <w:trPr>
          <w:tblHeader w:val="true"/>
          <w:tblHeader w:val="true"/>
        </w:trPr>
        <w:tc>
          <w:tcPr>
            <w:tcW w:w="3005" w:type="dxa"/>
            <w:shd w:val="clear" w:color="auto" w:fill="DCE6F2"/>
          </w:tcPr>
          <w:p>
            <w:pPr>
              <w:pStyle w:val="Compact"/>
              <w:spacing w:after="20" w:before="20"/>
              <w:jc w:val="left"/>
            </w:pPr>
            <w:r>
              <w:rPr>
                <w:b/>
                <w:sz w:val="18"/>
              </w:rPr>
              <w:t xml:space="preserve">Hazard</w:t>
            </w:r>
          </w:p>
        </w:tc>
        <w:tc>
          <w:tcPr>
            <w:tcW w:w="6786" w:type="dxa"/>
            <w:shd w:val="clear" w:color="auto" w:fill="DCE6F2"/>
          </w:tcPr>
          <w:p>
            <w:pPr>
              <w:pStyle w:val="Compact"/>
              <w:spacing w:after="20" w:before="20"/>
              <w:jc w:val="left"/>
            </w:pPr>
            <w:r>
              <w:rPr>
                <w:b/>
                <w:sz w:val="18"/>
              </w:rPr>
              <w:t xml:space="preserve">Rule</w:t>
            </w:r>
          </w:p>
        </w:tc>
      </w:tr>
      <w:tr>
        <w:tc>
          <w:tcPr>
            <w:tcW w:w="3005" w:type="dxa"/>
          </w:tcPr>
          <w:p>
            <w:pPr>
              <w:pStyle w:val="Compact"/>
              <w:spacing w:after="20" w:before="20"/>
              <w:jc w:val="left"/>
            </w:pPr>
            <w:r>
              <w:rPr>
                <w:sz w:val="18"/>
              </w:rPr>
              <w:t xml:space="preserve">Floating-point money</w:t>
            </w:r>
          </w:p>
        </w:tc>
        <w:tc>
          <w:tcPr>
            <w:tcW w:w="6786" w:type="dxa"/>
          </w:tcPr>
          <w:p>
            <w:pPr>
              <w:pStyle w:val="Compact"/>
              <w:spacing w:after="20" w:before="20"/>
              <w:jc w:val="left"/>
            </w:pPr>
            <w:r>
              <w:rPr>
                <w:sz w:val="18"/>
              </w:rPr>
              <w:t xml:space="preserve">All money as integer cents (</w:t>
            </w:r>
            <w:r>
              <w:rPr>
                <w:rStyle w:val="VerbatimChar"/>
                <w:sz w:val="18"/>
              </w:rPr>
              <w:t xml:space="preserve">int4</w:t>
            </w:r>
            <w:r>
              <w:rPr>
                <w:sz w:val="18"/>
              </w:rPr>
              <w:t xml:space="preserve">/</w:t>
            </w:r>
            <w:r>
              <w:rPr>
                <w:rStyle w:val="VerbatimChar"/>
                <w:sz w:val="18"/>
              </w:rPr>
              <w:t xml:space="preserve">int64</w:t>
            </w:r>
            <w:r>
              <w:rPr>
                <w:sz w:val="18"/>
              </w:rPr>
              <w:t xml:space="preserve">, BSON</w:t>
            </w:r>
            <w:r>
              <w:rPr>
                <w:sz w:val="18"/>
              </w:rPr>
              <w:t xml:space="preserve"> </w:t>
            </w:r>
            <w:r>
              <w:rPr>
                <w:rStyle w:val="VerbatimChar"/>
                <w:sz w:val="18"/>
              </w:rPr>
              <w:t xml:space="preserve">long</w:t>
            </w:r>
            <w:r>
              <w:rPr>
                <w:sz w:val="18"/>
              </w:rPr>
              <w:t xml:space="preserve">). No floats in stored data</w:t>
            </w:r>
          </w:p>
        </w:tc>
      </w:tr>
      <w:tr>
        <w:tc>
          <w:tcPr>
            <w:tcW w:w="3005" w:type="dxa"/>
          </w:tcPr>
          <w:p>
            <w:pPr>
              <w:pStyle w:val="Compact"/>
              <w:spacing w:after="20" w:before="20"/>
              <w:jc w:val="left"/>
            </w:pPr>
            <w:r>
              <w:rPr>
                <w:sz w:val="18"/>
              </w:rPr>
              <w:t xml:space="preserve">Timestamp precision</w:t>
            </w:r>
          </w:p>
        </w:tc>
        <w:tc>
          <w:tcPr>
            <w:tcW w:w="6786" w:type="dxa"/>
          </w:tcPr>
          <w:p>
            <w:pPr>
              <w:pStyle w:val="Compact"/>
              <w:spacing w:after="20" w:before="20"/>
              <w:jc w:val="left"/>
            </w:pPr>
            <w:r>
              <w:rPr>
                <w:sz w:val="18"/>
              </w:rPr>
              <w:t xml:space="preserve">Generator emits millisecond precision, UTC; PG column</w:t>
            </w:r>
            <w:r>
              <w:rPr>
                <w:sz w:val="18"/>
              </w:rPr>
              <w:t xml:space="preserve"> </w:t>
            </w:r>
            <w:r>
              <w:rPr>
                <w:rStyle w:val="VerbatimChar"/>
                <w:sz w:val="18"/>
              </w:rPr>
              <w:t xml:space="preserve">timestamptz(3)</w:t>
            </w:r>
            <w:r>
              <w:rPr>
                <w:sz w:val="18"/>
              </w:rPr>
              <w:t xml:space="preserve"> </w:t>
            </w:r>
            <w:r>
              <w:rPr>
                <w:sz w:val="18"/>
              </w:rPr>
              <w:t xml:space="preserve">matches BSON date precision</w:t>
            </w:r>
          </w:p>
        </w:tc>
      </w:tr>
      <w:tr>
        <w:tc>
          <w:tcPr>
            <w:tcW w:w="3005" w:type="dxa"/>
          </w:tcPr>
          <w:p>
            <w:pPr>
              <w:pStyle w:val="Compact"/>
              <w:spacing w:after="20" w:before="20"/>
              <w:jc w:val="left"/>
            </w:pPr>
            <w:r>
              <w:rPr>
                <w:sz w:val="18"/>
              </w:rPr>
              <w:t xml:space="preserve">Missing vs null</w:t>
            </w:r>
          </w:p>
        </w:tc>
        <w:tc>
          <w:tcPr>
            <w:tcW w:w="6786" w:type="dxa"/>
          </w:tcPr>
          <w:p>
            <w:pPr>
              <w:pStyle w:val="Compact"/>
              <w:spacing w:after="20" w:before="20"/>
              <w:jc w:val="left"/>
            </w:pPr>
            <w:r>
              <w:rPr>
                <w:sz w:val="18"/>
              </w:rPr>
              <w:t xml:space="preserve">Generator never omits fields; canonical form treats a missing Mongo field as null</w:t>
            </w:r>
          </w:p>
        </w:tc>
      </w:tr>
      <w:tr>
        <w:tc>
          <w:tcPr>
            <w:tcW w:w="3005" w:type="dxa"/>
          </w:tcPr>
          <w:p>
            <w:pPr>
              <w:pStyle w:val="Compact"/>
              <w:spacing w:after="20" w:before="20"/>
              <w:jc w:val="left"/>
            </w:pPr>
            <w:r>
              <w:rPr>
                <w:sz w:val="18"/>
              </w:rPr>
              <w:t xml:space="preserve">Id types</w:t>
            </w:r>
          </w:p>
        </w:tc>
        <w:tc>
          <w:tcPr>
            <w:tcW w:w="6786" w:type="dxa"/>
          </w:tcPr>
          <w:p>
            <w:pPr>
              <w:pStyle w:val="Compact"/>
              <w:spacing w:after="20" w:before="20"/>
              <w:jc w:val="left"/>
            </w:pPr>
            <w:r>
              <w:rPr>
                <w:sz w:val="18"/>
              </w:rPr>
              <w:t xml:space="preserve">Integer ids everywhere; GraphQL</w:t>
            </w:r>
            <w:r>
              <w:rPr>
                <w:sz w:val="18"/>
              </w:rPr>
              <w:t xml:space="preserve"> </w:t>
            </w:r>
            <w:r>
              <w:rPr>
                <w:rStyle w:val="VerbatimChar"/>
                <w:sz w:val="18"/>
              </w:rPr>
              <w:t xml:space="preserve">ID</w:t>
            </w:r>
            <w:r>
              <w:rPr>
                <w:sz w:val="18"/>
              </w:rPr>
              <w:t xml:space="preserve"> </w:t>
            </w:r>
            <w:r>
              <w:rPr>
                <w:sz w:val="18"/>
              </w:rPr>
              <w:t xml:space="preserve">serialized as string in both arms</w:t>
            </w:r>
          </w:p>
        </w:tc>
      </w:tr>
      <w:tr>
        <w:tc>
          <w:tcPr>
            <w:tcW w:w="3005" w:type="dxa"/>
          </w:tcPr>
          <w:p>
            <w:pPr>
              <w:pStyle w:val="Compact"/>
              <w:spacing w:after="20" w:before="20"/>
              <w:jc w:val="left"/>
            </w:pPr>
            <w:r>
              <w:rPr>
                <w:sz w:val="18"/>
              </w:rPr>
              <w:t xml:space="preserve">Embedded order lines</w:t>
            </w:r>
          </w:p>
        </w:tc>
        <w:tc>
          <w:tcPr>
            <w:tcW w:w="6786" w:type="dxa"/>
          </w:tcPr>
          <w:p>
            <w:pPr>
              <w:pStyle w:val="Compact"/>
              <w:spacing w:after="20" w:before="20"/>
              <w:jc w:val="left"/>
            </w:pPr>
            <w:r>
              <w:rPr>
                <w:sz w:val="18"/>
              </w:rPr>
              <w:t xml:space="preserve">Mongo: array in the order document. Consolidated:</w:t>
            </w:r>
            <w:r>
              <w:rPr>
                <w:sz w:val="18"/>
              </w:rPr>
              <w:t xml:space="preserve"> </w:t>
            </w:r>
            <w:r>
              <w:rPr>
                <w:rStyle w:val="VerbatimChar"/>
                <w:sz w:val="18"/>
              </w:rPr>
              <w:t xml:space="preserve">order_line</w:t>
            </w:r>
            <w:r>
              <w:rPr>
                <w:sz w:val="18"/>
              </w:rPr>
              <w:t xml:space="preserve"> </w:t>
            </w:r>
            <w:r>
              <w:rPr>
                <w:sz w:val="18"/>
              </w:rPr>
              <w:t xml:space="preserve">child table with</w:t>
            </w:r>
            <w:r>
              <w:rPr>
                <w:sz w:val="18"/>
              </w:rPr>
              <w:t xml:space="preserve"> </w:t>
            </w:r>
            <w:r>
              <w:rPr>
                <w:rStyle w:val="VerbatimChar"/>
                <w:sz w:val="18"/>
              </w:rPr>
              <w:t xml:space="preserve">line_no</w:t>
            </w:r>
            <w:r>
              <w:rPr>
                <w:sz w:val="18"/>
              </w:rPr>
              <w:t xml:space="preserve"> </w:t>
            </w:r>
            <w:r>
              <w:rPr>
                <w:sz w:val="18"/>
              </w:rPr>
              <w:t xml:space="preserve">to preserve order</w:t>
            </w:r>
          </w:p>
        </w:tc>
      </w:tr>
      <w:tr>
        <w:tc>
          <w:tcPr>
            <w:tcW w:w="3005" w:type="dxa"/>
          </w:tcPr>
          <w:p>
            <w:pPr>
              <w:pStyle w:val="Compact"/>
              <w:spacing w:after="20" w:before="20"/>
              <w:jc w:val="left"/>
            </w:pPr>
            <w:r>
              <w:rPr>
                <w:rStyle w:val="VerbatimChar"/>
                <w:sz w:val="18"/>
              </w:rPr>
              <w:t xml:space="preserve">avg</w:t>
            </w:r>
            <w:r>
              <w:rPr>
                <w:sz w:val="18"/>
              </w:rPr>
              <w:t xml:space="preserve"> </w:t>
            </w:r>
            <w:r>
              <w:rPr>
                <w:sz w:val="18"/>
              </w:rPr>
              <w:t xml:space="preserve">results</w:t>
            </w:r>
          </w:p>
        </w:tc>
        <w:tc>
          <w:tcPr>
            <w:tcW w:w="6786" w:type="dxa"/>
          </w:tcPr>
          <w:p>
            <w:pPr>
              <w:pStyle w:val="Compact"/>
              <w:spacing w:after="20" w:before="20"/>
              <w:jc w:val="left"/>
            </w:pPr>
            <w:r>
              <w:rPr>
                <w:sz w:val="18"/>
              </w:rPr>
              <w:t xml:space="preserve">Compared with relative tolerance 1e-9; all other values compared exactly</w:t>
            </w:r>
          </w:p>
        </w:tc>
      </w:tr>
    </w:tbl>
    <w:bookmarkEnd w:id="44"/>
    <w:bookmarkStart w:id="45" w:name="equivalence-check-gate-m3"/>
    <w:p>
      <w:pPr>
        <w:pStyle w:val="Heading2"/>
      </w:pPr>
      <w:r>
        <w:t xml:space="preserve">5.5 Equivalence check (gate M3)</w:t>
      </w:r>
    </w:p>
    <w:p>
      <w:pPr>
        <w:pStyle w:val="FirstParagraph"/>
      </w:pPr>
      <w:r>
        <w:t xml:space="preserve">For each entity: row count equal, and an order-insensitive checksum equal. Checksum = SHA-256 over the sorted list of SHA-256 hashes of each record’s canonical JSON (keys sorted, rules in §5.4 applied). The check runs after every load and its output goes into the run manifest.</w:t>
      </w:r>
    </w:p>
    <w:bookmarkEnd w:id="45"/>
    <w:bookmarkEnd w:id="46"/>
    <w:bookmarkStart w:id="54" w:name="computational-method"/>
    <w:p>
      <w:pPr>
        <w:pStyle w:val="Heading1"/>
      </w:pPr>
      <w:r>
        <w:t xml:space="preserve">6. Computational method</w:t>
      </w:r>
    </w:p>
    <w:p>
      <w:pPr>
        <w:pStyle w:val="FirstParagraph"/>
      </w:pPr>
      <w:r>
        <w:t xml:space="preserve">The method is rule-based rewriting over a small logical algebra, executed by an in-memory hash join, and evaluated by a controlled parameter sweep; the pseudocode below is specific enough to reimplement without this repository.</w:t>
      </w:r>
    </w:p>
    <w:bookmarkStart w:id="47" w:name="placement-resolution-load-time"/>
    <w:p>
      <w:pPr>
        <w:pStyle w:val="Heading2"/>
      </w:pPr>
      <w:r>
        <w:t xml:space="preserve">6.1 Placement resolution (load time)</w:t>
      </w:r>
    </w:p>
    <w:p>
      <w:pPr>
        <w:pStyle w:val="SourceCode"/>
      </w:pPr>
      <w:r>
        <w:rPr>
          <w:rStyle w:val="VerbatimChar"/>
        </w:rPr>
        <w:t xml:space="preserve">resolve(sdl, backends):</w:t>
      </w:r>
      <w:r>
        <w:br/>
      </w:r>
      <w:r>
        <w:rPr>
          <w:rStyle w:val="VerbatimChar"/>
        </w:rPr>
        <w:t xml:space="preserve">  schema &lt;- graphql_core.build_schema(sdl)</w:t>
      </w:r>
      <w:r>
        <w:br/>
      </w:r>
      <w:r>
        <w:rPr>
          <w:rStyle w:val="VerbatimChar"/>
        </w:rPr>
        <w:t xml:space="preserve">  S &lt;- schema.get_directive("store");  R &lt;- schema.get_directive("ref")</w:t>
      </w:r>
      <w:r>
        <w:br/>
      </w:r>
      <w:r>
        <w:rPr>
          <w:rStyle w:val="VerbatimChar"/>
        </w:rPr>
        <w:t xml:space="preserve">  for each object type T (not Query, not introspection):</w:t>
      </w:r>
      <w:r>
        <w:br/>
      </w:r>
      <w:r>
        <w:rPr>
          <w:rStyle w:val="VerbatimChar"/>
        </w:rPr>
        <w:t xml:space="preserve">      a &lt;- get_directive_values(S, T.ast_node)</w:t>
      </w:r>
      <w:r>
        <w:br/>
      </w:r>
      <w:r>
        <w:rPr>
          <w:rStyle w:val="VerbatimChar"/>
        </w:rPr>
        <w:t xml:space="preserve">      if a is None:</w:t>
      </w:r>
      <w:r>
        <w:br/>
      </w:r>
      <w:r>
        <w:rPr>
          <w:rStyle w:val="VerbatimChar"/>
        </w:rPr>
        <w:t xml:space="preserve">          if T is reachable only as a field of one stored type:</w:t>
      </w:r>
      <w:r>
        <w:br/>
      </w:r>
      <w:r>
        <w:rPr>
          <w:rStyle w:val="VerbatimChar"/>
        </w:rPr>
        <w:t xml:space="preserve">              T is EMBEDDED in that type's placement</w:t>
      </w:r>
      <w:r>
        <w:br/>
      </w:r>
      <w:r>
        <w:rPr>
          <w:rStyle w:val="VerbatimChar"/>
        </w:rPr>
        <w:t xml:space="preserve">          else: fail "type T has no @store"</w:t>
      </w:r>
      <w:r>
        <w:br/>
      </w:r>
      <w:r>
        <w:rPr>
          <w:rStyle w:val="VerbatimChar"/>
        </w:rPr>
        <w:t xml:space="preserve">      else:</w:t>
      </w:r>
      <w:r>
        <w:br/>
      </w:r>
      <w:r>
        <w:rPr>
          <w:rStyle w:val="VerbatimChar"/>
        </w:rPr>
        <w:t xml:space="preserve">          require a.backend in backends</w:t>
      </w:r>
      <w:r>
        <w:br/>
      </w:r>
      <w:r>
        <w:rPr>
          <w:rStyle w:val="VerbatimChar"/>
        </w:rPr>
        <w:t xml:space="preserve">          placement[T] &lt;- (a.backend, a.collection or snake(T), a.key)</w:t>
      </w:r>
      <w:r>
        <w:br/>
      </w:r>
      <w:r>
        <w:rPr>
          <w:rStyle w:val="VerbatimChar"/>
        </w:rPr>
        <w:t xml:space="preserve">  for each field f of each stored type T:</w:t>
      </w:r>
      <w:r>
        <w:br/>
      </w:r>
      <w:r>
        <w:rPr>
          <w:rStyle w:val="VerbatimChar"/>
        </w:rPr>
        <w:t xml:space="preserve">      r &lt;- get_directive_values(R, f.ast_node)</w:t>
      </w:r>
      <w:r>
        <w:br/>
      </w:r>
      <w:r>
        <w:rPr>
          <w:rStyle w:val="VerbatimChar"/>
        </w:rPr>
        <w:t xml:space="preserve">      U &lt;- named_type(f.type)</w:t>
      </w:r>
      <w:r>
        <w:br/>
      </w:r>
      <w:r>
        <w:rPr>
          <w:rStyle w:val="VerbatimChar"/>
        </w:rPr>
        <w:t xml:space="preserve">      if r is not None:</w:t>
      </w:r>
      <w:r>
        <w:br/>
      </w:r>
      <w:r>
        <w:rPr>
          <w:rStyle w:val="VerbatimChar"/>
        </w:rPr>
        <w:t xml:space="preserve">          require r.localKey in fields(T), r.remoteKey in fields(U),</w:t>
      </w:r>
      <w:r>
        <w:br/>
      </w:r>
      <w:r>
        <w:rPr>
          <w:rStyle w:val="VerbatimChar"/>
        </w:rPr>
        <w:t xml:space="preserve">                  scalar types compatible</w:t>
      </w:r>
      <w:r>
        <w:br/>
      </w:r>
      <w:r>
        <w:rPr>
          <w:rStyle w:val="VerbatimChar"/>
        </w:rPr>
        <w:t xml:space="preserve">          refs += Ref(T, f, U, r.localKey, r.remoteKey,</w:t>
      </w:r>
      <w:r>
        <w:br/>
      </w:r>
      <w:r>
        <w:rPr>
          <w:rStyle w:val="VerbatimChar"/>
        </w:rPr>
        <w:t xml:space="preserve">                      many if f is list else one)</w:t>
      </w:r>
      <w:r>
        <w:br/>
      </w:r>
      <w:r>
        <w:rPr>
          <w:rStyle w:val="VerbatimChar"/>
        </w:rPr>
        <w:t xml:space="preserve">      elif U is a stored object type: fail "relationship T.f has no @ref"</w:t>
      </w:r>
      <w:r>
        <w:br/>
      </w:r>
      <w:r>
        <w:rPr>
          <w:rStyle w:val="VerbatimChar"/>
        </w:rPr>
        <w:t xml:space="preserve">  crosses(ref) := placement[ref.owner].backend != placement[ref.target].backend</w:t>
      </w:r>
      <w:r>
        <w:br/>
      </w:r>
      <w:r>
        <w:rPr>
          <w:rStyle w:val="VerbatimChar"/>
        </w:rPr>
        <w:t xml:space="preserve">  derive root fields and &lt;T&gt;Where inputs; return augmented schema, PlacementMap</w:t>
      </w:r>
    </w:p>
    <w:bookmarkEnd w:id="47"/>
    <w:bookmarkStart w:id="48" w:name="logical-plan"/>
    <w:p>
      <w:pPr>
        <w:pStyle w:val="Heading2"/>
      </w:pPr>
      <w:r>
        <w:t xml:space="preserve">6.2 Logical plan</w:t>
      </w:r>
    </w:p>
    <w:p>
      <w:pPr>
        <w:pStyle w:val="FirstParagraph"/>
      </w:pPr>
      <w:r>
        <w:t xml:space="preserve">A query becomes a tree over six operators:</w:t>
      </w:r>
      <w:r>
        <w:t xml:space="preserve"> </w:t>
      </w:r>
      <w:r>
        <w:rPr>
          <w:rStyle w:val="VerbatimChar"/>
        </w:rPr>
        <w:t xml:space="preserve">Scan(T)</w:t>
      </w:r>
      <w:r>
        <w:t xml:space="preserve">,</w:t>
      </w:r>
      <w:r>
        <w:t xml:space="preserve"> </w:t>
      </w:r>
      <w:r>
        <w:rPr>
          <w:rStyle w:val="VerbatimChar"/>
        </w:rPr>
        <w:t xml:space="preserve">Filter(preds)</w:t>
      </w:r>
      <w:r>
        <w:t xml:space="preserve">,</w:t>
      </w:r>
      <w:r>
        <w:t xml:space="preserve"> </w:t>
      </w:r>
      <w:r>
        <w:rPr>
          <w:rStyle w:val="VerbatimChar"/>
        </w:rPr>
        <w:t xml:space="preserve">Project(fields)</w:t>
      </w:r>
      <w:r>
        <w:t xml:space="preserve">,</w:t>
      </w:r>
      <w:r>
        <w:t xml:space="preserve"> </w:t>
      </w:r>
      <w:r>
        <w:rPr>
          <w:rStyle w:val="VerbatimChar"/>
        </w:rPr>
        <w:t xml:space="preserve">Join(left, right, on, cardinality)</w:t>
      </w:r>
      <w:r>
        <w:t xml:space="preserve">,</w:t>
      </w:r>
      <w:r>
        <w:t xml:space="preserve"> </w:t>
      </w:r>
      <w:r>
        <w:rPr>
          <w:rStyle w:val="VerbatimChar"/>
        </w:rPr>
        <w:t xml:space="preserve">Aggregate(groupBy, fns)</w:t>
      </w:r>
      <w:r>
        <w:t xml:space="preserve">,</w:t>
      </w:r>
      <w:r>
        <w:t xml:space="preserve"> </w:t>
      </w:r>
      <w:r>
        <w:rPr>
          <w:rStyle w:val="VerbatimChar"/>
        </w:rPr>
        <w:t xml:space="preserve">Limit(n, offset)</w:t>
      </w:r>
      <w:r>
        <w:t xml:space="preserve">. The root field gives</w:t>
      </w:r>
      <w:r>
        <w:t xml:space="preserve"> </w:t>
      </w:r>
      <w:r>
        <w:rPr>
          <w:rStyle w:val="VerbatimChar"/>
        </w:rPr>
        <w:t xml:space="preserve">Scan(root)</w:t>
      </w:r>
      <w:r>
        <w:t xml:space="preserve"> </w:t>
      </w:r>
      <w:r>
        <w:t xml:space="preserve">under</w:t>
      </w:r>
      <w:r>
        <w:t xml:space="preserve"> </w:t>
      </w:r>
      <w:r>
        <w:rPr>
          <w:rStyle w:val="VerbatimChar"/>
        </w:rPr>
        <w:t xml:space="preserve">Filter</w:t>
      </w:r>
      <w:r>
        <w:t xml:space="preserve"> </w:t>
      </w:r>
      <w:r>
        <w:t xml:space="preserve">from its</w:t>
      </w:r>
      <w:r>
        <w:t xml:space="preserve"> </w:t>
      </w:r>
      <w:r>
        <w:rPr>
          <w:rStyle w:val="VerbatimChar"/>
        </w:rPr>
        <w:t xml:space="preserve">where</w:t>
      </w:r>
      <w:r>
        <w:t xml:space="preserve">; each selected</w:t>
      </w:r>
      <w:r>
        <w:t xml:space="preserve"> </w:t>
      </w:r>
      <w:r>
        <w:rPr>
          <w:rStyle w:val="VerbatimChar"/>
        </w:rPr>
        <w:t xml:space="preserve">@ref</w:t>
      </w:r>
      <w:r>
        <w:t xml:space="preserve"> </w:t>
      </w:r>
      <w:r>
        <w:t xml:space="preserve">field adds a</w:t>
      </w:r>
      <w:r>
        <w:t xml:space="preserve"> </w:t>
      </w:r>
      <w:r>
        <w:rPr>
          <w:rStyle w:val="VerbatimChar"/>
        </w:rPr>
        <w:t xml:space="preserve">Join</w:t>
      </w:r>
      <w:r>
        <w:t xml:space="preserve"> </w:t>
      </w:r>
      <w:r>
        <w:t xml:space="preserve">whose right side is</w:t>
      </w:r>
      <w:r>
        <w:t xml:space="preserve"> </w:t>
      </w:r>
      <w:r>
        <w:rPr>
          <w:rStyle w:val="VerbatimChar"/>
        </w:rPr>
        <w:t xml:space="preserve">Scan(target)</w:t>
      </w:r>
      <w:r>
        <w:t xml:space="preserve"> </w:t>
      </w:r>
      <w:r>
        <w:t xml:space="preserve">under that field’s own</w:t>
      </w:r>
      <w:r>
        <w:t xml:space="preserve"> </w:t>
      </w:r>
      <w:r>
        <w:rPr>
          <w:rStyle w:val="VerbatimChar"/>
        </w:rPr>
        <w:t xml:space="preserve">where</w:t>
      </w:r>
      <w:r>
        <w:t xml:space="preserve">. Depth is capped at 2 in the MVA.</w:t>
      </w:r>
    </w:p>
    <w:bookmarkEnd w:id="48"/>
    <w:bookmarkStart w:id="49" w:name="X3529ddf4b63d6a9334b78612af52f402d131d62"/>
    <w:p>
      <w:pPr>
        <w:pStyle w:val="Heading2"/>
      </w:pPr>
      <w:r>
        <w:t xml:space="preserve">6.3 Rewrite rules (applied once each, in this order)</w:t>
      </w:r>
    </w:p>
    <w:tbl>
      <w:tblPr>
        <w:tblStyle w:val="Table"/>
        <w:tblLook w:firstRow="1" w:lastRow="0" w:firstColumn="0" w:lastColumn="0" w:noHBand="0" w:noVBand="0" w:val="0020"/>
        <w:jc w:val="start"/>
        <w:tblW w:w="9789"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277"/>
        <w:gridCol w:w="2605"/>
        <w:gridCol w:w="2703"/>
        <w:gridCol w:w="2284"/>
        <w:gridCol w:w="920"/>
      </w:tblGrid>
      <w:tr>
        <w:trPr>
          <w:tblHeader w:val="true"/>
          <w:tblHeader w:val="true"/>
        </w:trPr>
        <w:tc>
          <w:tcPr>
            <w:tcW w:w="1277" w:type="dxa"/>
            <w:shd w:val="clear" w:color="auto" w:fill="DCE6F2"/>
          </w:tcPr>
          <w:p>
            <w:pPr>
              <w:pStyle w:val="Compact"/>
              <w:spacing w:after="20" w:before="20"/>
              <w:jc w:val="left"/>
            </w:pPr>
            <w:r>
              <w:rPr>
                <w:b/>
                <w:sz w:val="16"/>
              </w:rPr>
              <w:t xml:space="preserve">Rule</w:t>
            </w:r>
          </w:p>
        </w:tc>
        <w:tc>
          <w:tcPr>
            <w:tcW w:w="2605" w:type="dxa"/>
            <w:shd w:val="clear" w:color="auto" w:fill="DCE6F2"/>
          </w:tcPr>
          <w:p>
            <w:pPr>
              <w:pStyle w:val="Compact"/>
              <w:spacing w:after="20" w:before="20"/>
              <w:jc w:val="left"/>
            </w:pPr>
            <w:r>
              <w:rPr>
                <w:b/>
                <w:sz w:val="16"/>
              </w:rPr>
              <w:t xml:space="preserve">Fires when</w:t>
            </w:r>
          </w:p>
        </w:tc>
        <w:tc>
          <w:tcPr>
            <w:tcW w:w="2703" w:type="dxa"/>
            <w:shd w:val="clear" w:color="auto" w:fill="DCE6F2"/>
          </w:tcPr>
          <w:p>
            <w:pPr>
              <w:pStyle w:val="Compact"/>
              <w:spacing w:after="20" w:before="20"/>
              <w:jc w:val="left"/>
            </w:pPr>
            <w:r>
              <w:rPr>
                <w:b/>
                <w:sz w:val="16"/>
              </w:rPr>
              <w:t xml:space="preserve">Rewrite</w:t>
            </w:r>
          </w:p>
        </w:tc>
        <w:tc>
          <w:tcPr>
            <w:tcW w:w="2284" w:type="dxa"/>
            <w:shd w:val="clear" w:color="auto" w:fill="DCE6F2"/>
          </w:tcPr>
          <w:p>
            <w:pPr>
              <w:pStyle w:val="Compact"/>
              <w:spacing w:after="20" w:before="20"/>
              <w:jc w:val="left"/>
            </w:pPr>
            <w:r>
              <w:rPr>
                <w:b/>
                <w:sz w:val="16"/>
              </w:rPr>
              <w:t xml:space="preserve">Safety argument</w:t>
            </w:r>
          </w:p>
        </w:tc>
        <w:tc>
          <w:tcPr>
            <w:tcW w:w="920" w:type="dxa"/>
            <w:shd w:val="clear" w:color="auto" w:fill="DCE6F2"/>
          </w:tcPr>
          <w:p>
            <w:pPr>
              <w:pStyle w:val="Compact"/>
              <w:spacing w:after="20" w:before="20"/>
              <w:jc w:val="left"/>
            </w:pPr>
            <w:r>
              <w:rPr>
                <w:b/>
                <w:sz w:val="16"/>
              </w:rPr>
              <w:t xml:space="preserve">Status</w:t>
            </w:r>
          </w:p>
        </w:tc>
      </w:tr>
      <w:tr>
        <w:tc>
          <w:tcPr>
            <w:tcW w:w="1277" w:type="dxa"/>
          </w:tcPr>
          <w:p>
            <w:pPr>
              <w:pStyle w:val="Compact"/>
              <w:spacing w:after="20" w:before="20"/>
              <w:jc w:val="left"/>
            </w:pPr>
            <w:r>
              <w:rPr>
                <w:sz w:val="16"/>
              </w:rPr>
              <w:t xml:space="preserve">R1 Predicate pushdown</w:t>
            </w:r>
          </w:p>
        </w:tc>
        <w:tc>
          <w:tcPr>
            <w:tcW w:w="2605" w:type="dxa"/>
          </w:tcPr>
          <w:p>
            <w:pPr>
              <w:pStyle w:val="Compact"/>
              <w:spacing w:after="20" w:before="20"/>
              <w:jc w:val="left"/>
            </w:pPr>
            <w:r>
              <w:rPr>
                <w:rStyle w:val="VerbatimChar"/>
                <w:sz w:val="16"/>
              </w:rPr>
              <w:t xml:space="preserve">Filter(p)</w:t>
            </w:r>
            <w:r>
              <w:rPr>
                <w:sz w:val="16"/>
              </w:rPr>
              <w:t xml:space="preserve"> </w:t>
            </w:r>
            <w:r>
              <w:rPr>
                <w:sz w:val="16"/>
              </w:rPr>
              <w:t xml:space="preserve">directly over</w:t>
            </w:r>
            <w:r>
              <w:rPr>
                <w:sz w:val="16"/>
              </w:rPr>
              <w:t xml:space="preserve"> </w:t>
            </w:r>
            <w:r>
              <w:rPr>
                <w:rStyle w:val="VerbatimChar"/>
                <w:sz w:val="16"/>
              </w:rPr>
              <w:t xml:space="preserve">Scan(T)</w:t>
            </w:r>
            <w:r>
              <w:rPr>
                <w:sz w:val="16"/>
              </w:rPr>
              <w:t xml:space="preserve">, every field of p on T, adapter supports each operator</w:t>
            </w:r>
          </w:p>
        </w:tc>
        <w:tc>
          <w:tcPr>
            <w:tcW w:w="2703" w:type="dxa"/>
          </w:tcPr>
          <w:p>
            <w:pPr>
              <w:pStyle w:val="Compact"/>
              <w:spacing w:after="20" w:before="20"/>
              <w:jc w:val="left"/>
            </w:pPr>
            <w:r>
              <w:rPr>
                <w:sz w:val="16"/>
              </w:rPr>
              <w:t xml:space="preserve">Move p into</w:t>
            </w:r>
            <w:r>
              <w:rPr>
                <w:sz w:val="16"/>
              </w:rPr>
              <w:t xml:space="preserve"> </w:t>
            </w:r>
            <w:r>
              <w:rPr>
                <w:rStyle w:val="VerbatimChar"/>
                <w:sz w:val="16"/>
              </w:rPr>
              <w:t xml:space="preserve">ScanFragment.predicates</w:t>
            </w:r>
            <w:r>
              <w:rPr>
                <w:sz w:val="16"/>
              </w:rPr>
              <w:t xml:space="preserve"> </w:t>
            </w:r>
            <w:r>
              <w:rPr>
                <w:sz w:val="16"/>
              </w:rPr>
              <w:t xml:space="preserve">→ SQL</w:t>
            </w:r>
            <w:r>
              <w:rPr>
                <w:sz w:val="16"/>
              </w:rPr>
              <w:t xml:space="preserve"> </w:t>
            </w:r>
            <w:r>
              <w:rPr>
                <w:rStyle w:val="VerbatimChar"/>
                <w:sz w:val="16"/>
              </w:rPr>
              <w:t xml:space="preserve">WHERE</w:t>
            </w:r>
            <w:r>
              <w:rPr>
                <w:sz w:val="16"/>
              </w:rPr>
              <w:t xml:space="preserve"> </w:t>
            </w:r>
            <w:r>
              <w:rPr>
                <w:sz w:val="16"/>
              </w:rPr>
              <w:t xml:space="preserve">/ Mongo</w:t>
            </w:r>
            <w:r>
              <w:rPr>
                <w:sz w:val="16"/>
              </w:rPr>
              <w:t xml:space="preserve"> </w:t>
            </w:r>
            <w:r>
              <w:rPr>
                <w:rStyle w:val="VerbatimChar"/>
                <w:sz w:val="16"/>
              </w:rPr>
              <w:t xml:space="preserve">$match</w:t>
            </w:r>
          </w:p>
        </w:tc>
        <w:tc>
          <w:tcPr>
            <w:tcW w:w="2284" w:type="dxa"/>
          </w:tcPr>
          <w:p>
            <w:pPr>
              <w:pStyle w:val="Compact"/>
              <w:spacing w:after="20" w:before="20"/>
              <w:jc w:val="left"/>
            </w:pPr>
            <w:r>
              <w:rPr>
                <w:sz w:val="16"/>
              </w:rPr>
              <w:t xml:space="preserve">Conjunctive comparisons on one type commute with scan</w:t>
            </w:r>
          </w:p>
        </w:tc>
        <w:tc>
          <w:tcPr>
            <w:tcW w:w="920" w:type="dxa"/>
          </w:tcPr>
          <w:p>
            <w:pPr>
              <w:pStyle w:val="Compact"/>
              <w:spacing w:after="20" w:before="20"/>
              <w:jc w:val="left"/>
            </w:pPr>
            <w:r>
              <w:rPr>
                <w:sz w:val="16"/>
              </w:rPr>
              <w:t xml:space="preserve">Floor</w:t>
            </w:r>
          </w:p>
        </w:tc>
      </w:tr>
      <w:tr>
        <w:tc>
          <w:tcPr>
            <w:tcW w:w="1277" w:type="dxa"/>
          </w:tcPr>
          <w:p>
            <w:pPr>
              <w:pStyle w:val="Compact"/>
              <w:spacing w:after="20" w:before="20"/>
              <w:jc w:val="left"/>
            </w:pPr>
            <w:r>
              <w:rPr>
                <w:sz w:val="16"/>
              </w:rPr>
              <w:t xml:space="preserve">R1b Aggregate pushdown</w:t>
            </w:r>
          </w:p>
        </w:tc>
        <w:tc>
          <w:tcPr>
            <w:tcW w:w="2605" w:type="dxa"/>
          </w:tcPr>
          <w:p>
            <w:pPr>
              <w:pStyle w:val="Compact"/>
              <w:spacing w:after="20" w:before="20"/>
              <w:jc w:val="left"/>
            </w:pPr>
            <w:r>
              <w:rPr>
                <w:rStyle w:val="VerbatimChar"/>
                <w:sz w:val="16"/>
              </w:rPr>
              <w:t xml:space="preserve">Aggregate</w:t>
            </w:r>
            <w:r>
              <w:rPr>
                <w:sz w:val="16"/>
              </w:rPr>
              <w:t xml:space="preserve"> </w:t>
            </w:r>
            <w:r>
              <w:rPr>
                <w:sz w:val="16"/>
              </w:rPr>
              <w:t xml:space="preserve">over a single-store scan</w:t>
            </w:r>
          </w:p>
        </w:tc>
        <w:tc>
          <w:tcPr>
            <w:tcW w:w="2703" w:type="dxa"/>
          </w:tcPr>
          <w:p>
            <w:pPr>
              <w:pStyle w:val="Compact"/>
              <w:spacing w:after="20" w:before="20"/>
              <w:jc w:val="left"/>
            </w:pPr>
            <w:r>
              <w:rPr>
                <w:rStyle w:val="VerbatimChar"/>
                <w:sz w:val="16"/>
              </w:rPr>
              <w:t xml:space="preserve">GROUP BY</w:t>
            </w:r>
            <w:r>
              <w:rPr>
                <w:sz w:val="16"/>
              </w:rPr>
              <w:t xml:space="preserve"> </w:t>
            </w:r>
            <w:r>
              <w:rPr>
                <w:sz w:val="16"/>
              </w:rPr>
              <w:t xml:space="preserve">/</w:t>
            </w:r>
            <w:r>
              <w:rPr>
                <w:sz w:val="16"/>
              </w:rPr>
              <w:t xml:space="preserve"> </w:t>
            </w:r>
            <w:r>
              <w:rPr>
                <w:rStyle w:val="VerbatimChar"/>
                <w:sz w:val="16"/>
              </w:rPr>
              <w:t xml:space="preserve">$group</w:t>
            </w:r>
          </w:p>
        </w:tc>
        <w:tc>
          <w:tcPr>
            <w:tcW w:w="2284" w:type="dxa"/>
          </w:tcPr>
          <w:p>
            <w:pPr>
              <w:pStyle w:val="Compact"/>
              <w:spacing w:after="20" w:before="20"/>
              <w:jc w:val="left"/>
            </w:pPr>
            <w:r>
              <w:rPr>
                <w:sz w:val="16"/>
              </w:rPr>
              <w:t xml:space="preserve">Same-store aggregation is the backend’s own semantics;</w:t>
            </w:r>
            <w:r>
              <w:rPr>
                <w:sz w:val="16"/>
              </w:rPr>
              <w:t xml:space="preserve"> </w:t>
            </w:r>
            <w:r>
              <w:rPr>
                <w:rStyle w:val="VerbatimChar"/>
                <w:sz w:val="16"/>
              </w:rPr>
              <w:t xml:space="preserve">avg</w:t>
            </w:r>
            <w:r>
              <w:rPr>
                <w:sz w:val="16"/>
              </w:rPr>
              <w:t xml:space="preserve"> </w:t>
            </w:r>
            <w:r>
              <w:rPr>
                <w:sz w:val="16"/>
              </w:rPr>
              <w:t xml:space="preserve">tolerance per §5.4</w:t>
            </w:r>
          </w:p>
        </w:tc>
        <w:tc>
          <w:tcPr>
            <w:tcW w:w="920" w:type="dxa"/>
          </w:tcPr>
          <w:p>
            <w:pPr>
              <w:pStyle w:val="Compact"/>
              <w:spacing w:after="20" w:before="20"/>
              <w:jc w:val="left"/>
            </w:pPr>
            <w:r>
              <w:rPr>
                <w:sz w:val="16"/>
              </w:rPr>
              <w:t xml:space="preserve">Floor</w:t>
            </w:r>
          </w:p>
        </w:tc>
      </w:tr>
      <w:tr>
        <w:tc>
          <w:tcPr>
            <w:tcW w:w="1277" w:type="dxa"/>
          </w:tcPr>
          <w:p>
            <w:pPr>
              <w:pStyle w:val="Compact"/>
              <w:spacing w:after="20" w:before="20"/>
              <w:jc w:val="left"/>
            </w:pPr>
            <w:r>
              <w:rPr>
                <w:sz w:val="16"/>
              </w:rPr>
              <w:t xml:space="preserve">R2 Bind join</w:t>
            </w:r>
          </w:p>
        </w:tc>
        <w:tc>
          <w:tcPr>
            <w:tcW w:w="2605" w:type="dxa"/>
          </w:tcPr>
          <w:p>
            <w:pPr>
              <w:pStyle w:val="Compact"/>
              <w:spacing w:after="20" w:before="20"/>
              <w:jc w:val="left"/>
            </w:pPr>
            <w:r>
              <w:rPr>
                <w:sz w:val="16"/>
              </w:rPr>
              <w:t xml:space="preserve">Equi-</w:t>
            </w:r>
            <w:r>
              <w:rPr>
                <w:rStyle w:val="VerbatimChar"/>
                <w:sz w:val="16"/>
              </w:rPr>
              <w:t xml:space="preserve">Join</w:t>
            </w:r>
            <w:r>
              <w:rPr>
                <w:sz w:val="16"/>
              </w:rPr>
              <w:t xml:space="preserve"> </w:t>
            </w:r>
            <w:r>
              <w:rPr>
                <w:sz w:val="16"/>
              </w:rPr>
              <w:t xml:space="preserve">across stores</w:t>
            </w:r>
          </w:p>
        </w:tc>
        <w:tc>
          <w:tcPr>
            <w:tcW w:w="2703" w:type="dxa"/>
          </w:tcPr>
          <w:p>
            <w:pPr>
              <w:pStyle w:val="Compact"/>
              <w:spacing w:after="20" w:before="20"/>
              <w:jc w:val="left"/>
            </w:pPr>
            <w:r>
              <w:rPr>
                <w:sz w:val="16"/>
              </w:rPr>
              <w:t xml:space="preserve">After the driving side runs, give the other side</w:t>
            </w:r>
            <w:r>
              <w:rPr>
                <w:sz w:val="16"/>
              </w:rPr>
              <w:t xml:space="preserve"> </w:t>
            </w:r>
            <w:r>
              <w:rPr>
                <w:rStyle w:val="VerbatimChar"/>
                <w:sz w:val="16"/>
              </w:rPr>
              <w:t xml:space="preserve">key_filter = (remoteKey, distinct driving keys)</w:t>
            </w:r>
            <w:r>
              <w:rPr>
                <w:sz w:val="16"/>
              </w:rPr>
              <w:t xml:space="preserve"> </w:t>
            </w:r>
            <w:r>
              <w:rPr>
                <w:sz w:val="16"/>
              </w:rPr>
              <w:t xml:space="preserve">in batches of B = 1,000</w:t>
            </w:r>
          </w:p>
        </w:tc>
        <w:tc>
          <w:tcPr>
            <w:tcW w:w="2284" w:type="dxa"/>
          </w:tcPr>
          <w:p>
            <w:pPr>
              <w:pStyle w:val="Compact"/>
              <w:spacing w:after="20" w:before="20"/>
              <w:jc w:val="left"/>
            </w:pPr>
            <w:r>
              <w:rPr>
                <w:sz w:val="16"/>
              </w:rPr>
              <w:t xml:space="preserve">Semi-join reduction never removes a row that would join</w:t>
            </w:r>
          </w:p>
        </w:tc>
        <w:tc>
          <w:tcPr>
            <w:tcW w:w="920" w:type="dxa"/>
          </w:tcPr>
          <w:p>
            <w:pPr>
              <w:pStyle w:val="Compact"/>
              <w:spacing w:after="20" w:before="20"/>
              <w:jc w:val="left"/>
            </w:pPr>
            <w:r>
              <w:rPr>
                <w:sz w:val="16"/>
              </w:rPr>
              <w:t xml:space="preserve">Floor (with R1)</w:t>
            </w:r>
          </w:p>
        </w:tc>
      </w:tr>
      <w:tr>
        <w:tc>
          <w:tcPr>
            <w:tcW w:w="1277" w:type="dxa"/>
          </w:tcPr>
          <w:p>
            <w:pPr>
              <w:pStyle w:val="Compact"/>
              <w:spacing w:after="20" w:before="20"/>
              <w:jc w:val="left"/>
            </w:pPr>
            <w:r>
              <w:rPr>
                <w:sz w:val="16"/>
              </w:rPr>
              <w:t xml:space="preserve">R3 Projection pushdown</w:t>
            </w:r>
          </w:p>
        </w:tc>
        <w:tc>
          <w:tcPr>
            <w:tcW w:w="2605" w:type="dxa"/>
          </w:tcPr>
          <w:p>
            <w:pPr>
              <w:pStyle w:val="Compact"/>
              <w:spacing w:after="20" w:before="20"/>
              <w:jc w:val="left"/>
            </w:pPr>
            <w:r>
              <w:rPr>
                <w:sz w:val="16"/>
              </w:rPr>
              <w:t xml:space="preserve">Any</w:t>
            </w:r>
            <w:r>
              <w:rPr>
                <w:sz w:val="16"/>
              </w:rPr>
              <w:t xml:space="preserve"> </w:t>
            </w:r>
            <w:r>
              <w:rPr>
                <w:rStyle w:val="VerbatimChar"/>
                <w:sz w:val="16"/>
              </w:rPr>
              <w:t xml:space="preserve">Scan</w:t>
            </w:r>
          </w:p>
        </w:tc>
        <w:tc>
          <w:tcPr>
            <w:tcW w:w="2703" w:type="dxa"/>
          </w:tcPr>
          <w:p>
            <w:pPr>
              <w:pStyle w:val="Compact"/>
              <w:spacing w:after="20" w:before="20"/>
              <w:jc w:val="left"/>
            </w:pPr>
            <w:r>
              <w:rPr>
                <w:sz w:val="16"/>
              </w:rPr>
              <w:t xml:space="preserve">Request only selected fields ∪ join keys ∪ residual predicate and sort fields</w:t>
            </w:r>
          </w:p>
        </w:tc>
        <w:tc>
          <w:tcPr>
            <w:tcW w:w="2284" w:type="dxa"/>
          </w:tcPr>
          <w:p>
            <w:pPr>
              <w:pStyle w:val="Compact"/>
              <w:spacing w:after="20" w:before="20"/>
              <w:jc w:val="left"/>
            </w:pPr>
            <w:r>
              <w:rPr>
                <w:sz w:val="16"/>
              </w:rPr>
              <w:t xml:space="preserve">Unrequested columns cannot affect the result</w:t>
            </w:r>
          </w:p>
        </w:tc>
        <w:tc>
          <w:tcPr>
            <w:tcW w:w="920" w:type="dxa"/>
          </w:tcPr>
          <w:p>
            <w:pPr>
              <w:pStyle w:val="Compact"/>
              <w:spacing w:after="20" w:before="20"/>
              <w:jc w:val="left"/>
            </w:pPr>
            <w:r>
              <w:rPr>
                <w:sz w:val="16"/>
              </w:rPr>
              <w:t xml:space="preserve">E-1</w:t>
            </w:r>
          </w:p>
        </w:tc>
      </w:tr>
      <w:tr>
        <w:tc>
          <w:tcPr>
            <w:tcW w:w="1277" w:type="dxa"/>
          </w:tcPr>
          <w:p>
            <w:pPr>
              <w:pStyle w:val="Compact"/>
              <w:spacing w:after="20" w:before="20"/>
              <w:jc w:val="left"/>
            </w:pPr>
            <w:r>
              <w:rPr>
                <w:sz w:val="16"/>
              </w:rPr>
              <w:t xml:space="preserve">R4 Limit pushdown</w:t>
            </w:r>
          </w:p>
        </w:tc>
        <w:tc>
          <w:tcPr>
            <w:tcW w:w="2605" w:type="dxa"/>
          </w:tcPr>
          <w:p>
            <w:pPr>
              <w:pStyle w:val="Compact"/>
              <w:spacing w:after="20" w:before="20"/>
              <w:jc w:val="left"/>
            </w:pPr>
            <w:r>
              <w:rPr>
                <w:rStyle w:val="VerbatimChar"/>
                <w:sz w:val="16"/>
              </w:rPr>
              <w:t xml:space="preserve">Limit</w:t>
            </w:r>
            <w:r>
              <w:rPr>
                <w:sz w:val="16"/>
              </w:rPr>
              <w:t xml:space="preserve"> </w:t>
            </w:r>
            <w:r>
              <w:rPr>
                <w:sz w:val="16"/>
              </w:rPr>
              <w:t xml:space="preserve">over the root scan, root ordered by a total order (engine appends</w:t>
            </w:r>
            <w:r>
              <w:rPr>
                <w:sz w:val="16"/>
              </w:rPr>
              <w:t xml:space="preserve"> </w:t>
            </w:r>
            <w:r>
              <w:rPr>
                <w:rStyle w:val="VerbatimChar"/>
                <w:sz w:val="16"/>
              </w:rPr>
              <w:t xml:space="preserve">key</w:t>
            </w:r>
            <w:r>
              <w:rPr>
                <w:sz w:val="16"/>
              </w:rPr>
              <w:t xml:space="preserve"> </w:t>
            </w:r>
            <w:r>
              <w:rPr>
                <w:sz w:val="16"/>
              </w:rPr>
              <w:t xml:space="preserve">as tiebreaker), no residual filter above the scan</w:t>
            </w:r>
          </w:p>
        </w:tc>
        <w:tc>
          <w:tcPr>
            <w:tcW w:w="2703" w:type="dxa"/>
          </w:tcPr>
          <w:p>
            <w:pPr>
              <w:pStyle w:val="Compact"/>
              <w:spacing w:after="20" w:before="20"/>
              <w:jc w:val="left"/>
            </w:pPr>
            <w:r>
              <w:rPr>
                <w:sz w:val="16"/>
              </w:rPr>
              <w:t xml:space="preserve">Push</w:t>
            </w:r>
            <w:r>
              <w:rPr>
                <w:sz w:val="16"/>
              </w:rPr>
              <w:t xml:space="preserve"> </w:t>
            </w:r>
            <w:r>
              <w:rPr>
                <w:rStyle w:val="VerbatimChar"/>
                <w:sz w:val="16"/>
              </w:rPr>
              <w:t xml:space="preserve">LIMIT/OFFSET</w:t>
            </w:r>
            <w:r>
              <w:rPr>
                <w:sz w:val="16"/>
              </w:rPr>
              <w:t xml:space="preserve"> </w:t>
            </w:r>
            <w:r>
              <w:rPr>
                <w:sz w:val="16"/>
              </w:rPr>
              <w:t xml:space="preserve">/</w:t>
            </w:r>
            <w:r>
              <w:rPr>
                <w:sz w:val="16"/>
              </w:rPr>
              <w:t xml:space="preserve"> </w:t>
            </w:r>
            <w:r>
              <w:rPr>
                <w:rStyle w:val="VerbatimChar"/>
                <w:sz w:val="16"/>
              </w:rPr>
              <w:t xml:space="preserve">$skip</w:t>
            </w:r>
            <w:r>
              <w:rPr>
                <w:sz w:val="16"/>
              </w:rPr>
              <w:t xml:space="preserve">/</w:t>
            </w:r>
            <w:r>
              <w:rPr>
                <w:rStyle w:val="VerbatimChar"/>
                <w:sz w:val="16"/>
              </w:rPr>
              <w:t xml:space="preserve">$limit</w:t>
            </w:r>
            <w:r>
              <w:rPr>
                <w:sz w:val="16"/>
              </w:rPr>
              <w:t xml:space="preserve"> </w:t>
            </w:r>
            <w:r>
              <w:rPr>
                <w:sz w:val="16"/>
              </w:rPr>
              <w:t xml:space="preserve">into the root fragment</w:t>
            </w:r>
          </w:p>
        </w:tc>
        <w:tc>
          <w:tcPr>
            <w:tcW w:w="2284" w:type="dxa"/>
          </w:tcPr>
          <w:p>
            <w:pPr>
              <w:pStyle w:val="Compact"/>
              <w:spacing w:after="20" w:before="20"/>
              <w:jc w:val="left"/>
            </w:pPr>
            <w:r>
              <w:rPr>
                <w:sz w:val="16"/>
              </w:rPr>
              <w:t xml:space="preserve">A to-many nested join does not change root cardinality</w:t>
            </w:r>
          </w:p>
        </w:tc>
        <w:tc>
          <w:tcPr>
            <w:tcW w:w="920" w:type="dxa"/>
          </w:tcPr>
          <w:p>
            <w:pPr>
              <w:pStyle w:val="Compact"/>
              <w:spacing w:after="20" w:before="20"/>
              <w:jc w:val="left"/>
            </w:pPr>
            <w:r>
              <w:rPr>
                <w:sz w:val="16"/>
              </w:rPr>
              <w:t xml:space="preserve">Floor</w:t>
            </w:r>
          </w:p>
        </w:tc>
      </w:tr>
      <w:tr>
        <w:tc>
          <w:tcPr>
            <w:tcW w:w="1277" w:type="dxa"/>
          </w:tcPr>
          <w:p>
            <w:pPr>
              <w:pStyle w:val="Compact"/>
              <w:spacing w:after="20" w:before="20"/>
              <w:jc w:val="left"/>
            </w:pPr>
            <w:r>
              <w:rPr>
                <w:sz w:val="16"/>
              </w:rPr>
              <w:t xml:space="preserve">J Join ordering</w:t>
            </w:r>
          </w:p>
        </w:tc>
        <w:tc>
          <w:tcPr>
            <w:tcW w:w="2605" w:type="dxa"/>
          </w:tcPr>
          <w:p>
            <w:pPr>
              <w:pStyle w:val="Compact"/>
              <w:spacing w:after="20" w:before="20"/>
              <w:jc w:val="left"/>
            </w:pPr>
            <w:r>
              <w:rPr>
                <w:sz w:val="16"/>
              </w:rPr>
              <w:t xml:space="preserve">Two-store join, E-2 enabled</w:t>
            </w:r>
          </w:p>
        </w:tc>
        <w:tc>
          <w:tcPr>
            <w:tcW w:w="2703" w:type="dxa"/>
          </w:tcPr>
          <w:p>
            <w:pPr>
              <w:pStyle w:val="Compact"/>
              <w:spacing w:after="20" w:before="20"/>
              <w:jc w:val="left"/>
            </w:pPr>
            <w:r>
              <w:rPr>
                <w:sz w:val="16"/>
              </w:rPr>
              <w:t xml:space="preserve">Drive from the side with pushed predicates; tie → smaller</w:t>
            </w:r>
            <w:r>
              <w:rPr>
                <w:sz w:val="16"/>
              </w:rPr>
              <w:t xml:space="preserve"> </w:t>
            </w:r>
            <w:r>
              <w:rPr>
                <w:rStyle w:val="VerbatimChar"/>
                <w:sz w:val="16"/>
              </w:rPr>
              <w:t xml:space="preserve">row_count</w:t>
            </w:r>
          </w:p>
        </w:tc>
        <w:tc>
          <w:tcPr>
            <w:tcW w:w="2284" w:type="dxa"/>
          </w:tcPr>
          <w:p>
            <w:pPr>
              <w:pStyle w:val="Compact"/>
              <w:spacing w:after="20" w:before="20"/>
              <w:jc w:val="left"/>
            </w:pPr>
            <w:r>
              <w:rPr>
                <w:sz w:val="16"/>
              </w:rPr>
              <w:t xml:space="preserve">Affects cost only, never results</w:t>
            </w:r>
          </w:p>
        </w:tc>
        <w:tc>
          <w:tcPr>
            <w:tcW w:w="920" w:type="dxa"/>
          </w:tcPr>
          <w:p>
            <w:pPr>
              <w:pStyle w:val="Compact"/>
              <w:spacing w:after="20" w:before="20"/>
              <w:jc w:val="left"/>
            </w:pPr>
            <w:r>
              <w:rPr>
                <w:sz w:val="16"/>
              </w:rPr>
              <w:t xml:space="preserve">E-2</w:t>
            </w:r>
          </w:p>
        </w:tc>
      </w:tr>
    </w:tbl>
    <w:p>
      <w:pPr>
        <w:pStyle w:val="BodyText"/>
      </w:pPr>
      <w:r>
        <w:t xml:space="preserve">A per-parent limit on a nested field (</w:t>
      </w:r>
      <w:r>
        <w:rPr>
          <w:rStyle w:val="VerbatimChar"/>
        </w:rPr>
        <w:t xml:space="preserve">orders(limit: 5)</w:t>
      </w:r>
      <w:r>
        <w:t xml:space="preserve">) is never pushed across a bind join; it stays a residual operator. The oracle’s property tests (T-P1) target exactly these boundaries.</w:t>
      </w:r>
    </w:p>
    <w:bookmarkEnd w:id="49"/>
    <w:bookmarkStart w:id="50" w:name="execution-bind-hash-join"/>
    <w:p>
      <w:pPr>
        <w:pStyle w:val="Heading2"/>
      </w:pPr>
      <w:r>
        <w:t xml:space="preserve">6.4 Execution: bind hash join</w:t>
      </w:r>
    </w:p>
    <w:p>
      <w:pPr>
        <w:pStyle w:val="SourceCode"/>
      </w:pPr>
      <w:r>
        <w:rPr>
          <w:rStyle w:val="VerbatimChar"/>
        </w:rPr>
        <w:t xml:space="preserve">execute_join(L, Rf, ref, B=1000):</w:t>
      </w:r>
      <w:r>
        <w:br/>
      </w:r>
      <w:r>
        <w:rPr>
          <w:rStyle w:val="VerbatimChar"/>
        </w:rPr>
        <w:t xml:space="preserve">  drive &lt;- materialize(adapter[L].scan(L))                 # k rows</w:t>
      </w:r>
      <w:r>
        <w:br/>
      </w:r>
      <w:r>
        <w:rPr>
          <w:rStyle w:val="VerbatimChar"/>
        </w:rPr>
        <w:t xml:space="preserve">  keys  &lt;- distinct(r[ref.localKey] for r in drive)</w:t>
      </w:r>
      <w:r>
        <w:br/>
      </w:r>
      <w:r>
        <w:rPr>
          <w:rStyle w:val="VerbatimChar"/>
        </w:rPr>
        <w:t xml:space="preserve">  index &lt;- map key -&gt; list</w:t>
      </w:r>
      <w:r>
        <w:br/>
      </w:r>
      <w:r>
        <w:rPr>
          <w:rStyle w:val="VerbatimChar"/>
        </w:rPr>
        <w:t xml:space="preserve">  for batch in chunks(sorted(keys), B):                     # deterministic batches</w:t>
      </w:r>
      <w:r>
        <w:br/>
      </w:r>
      <w:r>
        <w:rPr>
          <w:rStyle w:val="VerbatimChar"/>
        </w:rPr>
        <w:t xml:space="preserve">      for rows in adapter[Rf].scan(Rf with key_filter=(ref.remoteKey, batch)):</w:t>
      </w:r>
      <w:r>
        <w:br/>
      </w:r>
      <w:r>
        <w:rPr>
          <w:rStyle w:val="VerbatimChar"/>
        </w:rPr>
        <w:t xml:space="preserve">          for r in rows: index[r[ref.remoteKey]].append(r)</w:t>
      </w:r>
      <w:r>
        <w:br/>
      </w:r>
      <w:r>
        <w:rPr>
          <w:rStyle w:val="VerbatimChar"/>
        </w:rPr>
        <w:t xml:space="preserve">  for d in drive:</w:t>
      </w:r>
      <w:r>
        <w:br/>
      </w:r>
      <w:r>
        <w:rPr>
          <w:rStyle w:val="VerbatimChar"/>
        </w:rPr>
        <w:t xml:space="preserve">      d[ref.field] &lt;- index.get(d[ref.localKey], [])  if many  else first-or-null</w:t>
      </w:r>
      <w:r>
        <w:br/>
      </w:r>
      <w:r>
        <w:rPr>
          <w:rStyle w:val="VerbatimChar"/>
        </w:rPr>
        <w:t xml:space="preserve">  return drive</w:t>
      </w:r>
    </w:p>
    <w:p>
      <w:pPr>
        <w:pStyle w:val="FirstParagraph"/>
      </w:pPr>
      <w:r>
        <w:t xml:space="preserve">Time is O(k + m) and memory O(m), where m is the number of matched right-side rows. With R2 off (arm A4) the right side is scanned whole, so bytes and time grow with collection size instead of with k: the contrast SC-3 measures.</w:t>
      </w:r>
    </w:p>
    <w:bookmarkEnd w:id="50"/>
    <w:bookmarkStart w:id="51" w:name="what-is-timed-and-what-is-counted"/>
    <w:p>
      <w:pPr>
        <w:pStyle w:val="Heading2"/>
      </w:pPr>
      <w:r>
        <w:t xml:space="preserve">6.5 What is timed and what is counted</w:t>
      </w:r>
    </w:p>
    <w:p>
      <w:pPr>
        <w:numPr>
          <w:ilvl w:val="0"/>
          <w:numId w:val="1003"/>
        </w:numPr>
        <w:pStyle w:val="Compact"/>
      </w:pPr>
      <w:r>
        <w:rPr>
          <w:bCs/>
          <w:b/>
        </w:rPr>
        <w:t xml:space="preserve">Latency</w:t>
      </w:r>
      <w:r>
        <w:t xml:space="preserve">:</w:t>
      </w:r>
      <w:r>
        <w:t xml:space="preserve"> </w:t>
      </w:r>
      <w:r>
        <w:rPr>
          <w:rStyle w:val="VerbatimChar"/>
        </w:rPr>
        <w:t xml:space="preserve">time.perf_counter_ns()</w:t>
      </w:r>
      <w:r>
        <w:t xml:space="preserve"> </w:t>
      </w:r>
      <w:r>
        <w:t xml:space="preserve">from the call to</w:t>
      </w:r>
      <w:r>
        <w:t xml:space="preserve"> </w:t>
      </w:r>
      <w:r>
        <w:rPr>
          <w:rStyle w:val="VerbatimChar"/>
        </w:rPr>
        <w:t xml:space="preserve">engine.execute()</w:t>
      </w:r>
      <w:r>
        <w:t xml:space="preserve"> </w:t>
      </w:r>
      <w:r>
        <w:t xml:space="preserve">until the nested Python result is fully built. Arm A2 is timed from sending the reference SQL until its rows are reshaped into the same nested form, so both arms pay result shaping.</w:t>
      </w:r>
    </w:p>
    <w:p>
      <w:pPr>
        <w:numPr>
          <w:ilvl w:val="0"/>
          <w:numId w:val="1003"/>
        </w:numPr>
        <w:pStyle w:val="Compact"/>
      </w:pPr>
      <w:r>
        <w:rPr>
          <w:bCs/>
          <w:b/>
        </w:rPr>
        <w:t xml:space="preserve">Span breakdown</w:t>
      </w:r>
      <w:r>
        <w:t xml:space="preserve"> </w:t>
      </w:r>
      <w:r>
        <w:t xml:space="preserve">per query from the executor’s</w:t>
      </w:r>
      <w:r>
        <w:t xml:space="preserve"> </w:t>
      </w:r>
      <w:r>
        <w:rPr>
          <w:rStyle w:val="VerbatimChar"/>
        </w:rPr>
        <w:t xml:space="preserve">Trace</w:t>
      </w:r>
      <w:r>
        <w:t xml:space="preserve">: parse+plan, backend L, backend R, decode, join, shape. This separates Python overhead from data movement (risk R18, §12).</w:t>
      </w:r>
    </w:p>
    <w:p>
      <w:pPr>
        <w:numPr>
          <w:ilvl w:val="0"/>
          <w:numId w:val="1003"/>
        </w:numPr>
        <w:pStyle w:val="Compact"/>
      </w:pPr>
      <w:r>
        <w:rPr>
          <w:bCs/>
          <w:b/>
        </w:rPr>
        <w:t xml:space="preserve">Bytes, primary</w:t>
      </w:r>
      <w:r>
        <w:t xml:space="preserve">: payload bytes decoded from each backend (PG: sum of text-format field lengths reported by psycopg; Mongo: BSON size of each returned document via</w:t>
      </w:r>
      <w:r>
        <w:t xml:space="preserve"> </w:t>
      </w:r>
      <w:r>
        <w:rPr>
          <w:rStyle w:val="VerbatimChar"/>
        </w:rPr>
        <w:t xml:space="preserve">RawBSONDocument</w:t>
      </w:r>
      <w:r>
        <w:t xml:space="preserve">).</w:t>
      </w:r>
    </w:p>
    <w:p>
      <w:pPr>
        <w:numPr>
          <w:ilvl w:val="0"/>
          <w:numId w:val="1003"/>
        </w:numPr>
        <w:pStyle w:val="Compact"/>
      </w:pPr>
      <w:r>
        <w:rPr>
          <w:bCs/>
          <w:b/>
        </w:rPr>
        <w:t xml:space="preserve">Bytes, validation</w:t>
      </w:r>
      <w:r>
        <w:t xml:space="preserve">: container network counters (</w:t>
      </w:r>
      <w:r>
        <w:rPr>
          <w:rStyle w:val="VerbatimChar"/>
        </w:rPr>
        <w:t xml:space="preserve">/sys/class/net/eth0/statistics/tx_bytes</w:t>
      </w:r>
      <w:r>
        <w:t xml:space="preserve"> </w:t>
      </w:r>
      <w:r>
        <w:t xml:space="preserve">inside each DB container) before and after each run; must agree with the primary figure within protocol overhead, else the run is flagged.</w:t>
      </w:r>
    </w:p>
    <w:p>
      <w:pPr>
        <w:numPr>
          <w:ilvl w:val="0"/>
          <w:numId w:val="1003"/>
        </w:numPr>
        <w:pStyle w:val="Compact"/>
      </w:pPr>
      <w:r>
        <w:rPr>
          <w:bCs/>
          <w:b/>
        </w:rPr>
        <w:t xml:space="preserve">Intermediate cardinality k</w:t>
      </w:r>
      <w:r>
        <w:t xml:space="preserve">: rows returned by the driving scan, recorded per run, not assumed from t.</w:t>
      </w:r>
    </w:p>
    <w:bookmarkEnd w:id="51"/>
    <w:bookmarkStart w:id="52" w:name="crossover-estimation-sc-5"/>
    <w:p>
      <w:pPr>
        <w:pStyle w:val="Heading2"/>
      </w:pPr>
      <w:r>
        <w:t xml:space="preserve">6.6 Crossover estimation (SC-5)</w:t>
      </w:r>
    </w:p>
    <w:p>
      <w:pPr>
        <w:pStyle w:val="FirstParagraph"/>
      </w:pPr>
      <w:r>
        <w:t xml:space="preserve">The sweep sets the threshold t in</w:t>
      </w:r>
      <w:r>
        <w:t xml:space="preserve"> </w:t>
      </w:r>
      <w:r>
        <w:rPr>
          <w:rStyle w:val="VerbatimChar"/>
        </w:rPr>
        <w:t xml:space="preserve">Customer.sel &lt; t</w:t>
      </w:r>
      <w:r>
        <w:t xml:space="preserve"> </w:t>
      </w:r>
      <w:r>
        <w:t xml:space="preserve">to nine pre-registered values: 1, 3, 10, 30, 100, 300, 1,000, 3,000, 10,000 (out of 10,000). Each point runs 3 discarded warm-ups and 7 timed repetitions per arm, arm order shuffled per repetition with a recorded seed.</w:t>
      </w:r>
    </w:p>
    <w:p>
      <w:pPr>
        <w:pStyle w:val="SourceCode"/>
      </w:pPr>
      <w:r>
        <w:rPr>
          <w:rStyle w:val="VerbatimChar"/>
        </w:rPr>
        <w:t xml:space="preserve">for each point i: D_i &lt;- median_A1(i) - median_A2(i);   IQR_a(i) recorded per arm</w:t>
      </w:r>
      <w:r>
        <w:br/>
      </w:r>
      <w:r>
        <w:rPr>
          <w:rStyle w:val="VerbatimChar"/>
        </w:rPr>
        <w:t xml:space="preserve">bracket &lt;- first i with D_i &lt;= 0 &lt; D_{i+1}</w:t>
      </w:r>
      <w:r>
        <w:br/>
      </w:r>
      <w:r>
        <w:rPr>
          <w:rStyle w:val="VerbatimChar"/>
        </w:rPr>
        <w:t xml:space="preserve">if no bracket: report "no crossover in range" and the sign of D throughout</w:t>
      </w:r>
      <w:r>
        <w:br/>
      </w:r>
      <w:r>
        <w:rPr>
          <w:rStyle w:val="VerbatimChar"/>
        </w:rPr>
        <w:t xml:space="preserve">else:</w:t>
      </w:r>
      <w:r>
        <w:br/>
      </w:r>
      <w:r>
        <w:rPr>
          <w:rStyle w:val="VerbatimChar"/>
        </w:rPr>
        <w:t xml:space="preserve">    log k* &lt;- log k_i + (-D_i / (D_{i+1} - D_i)) * (log k_{i+1} - log k_i)</w:t>
      </w:r>
      <w:r>
        <w:br/>
      </w:r>
      <w:r>
        <w:rPr>
          <w:rStyle w:val="VerbatimChar"/>
        </w:rPr>
        <w:t xml:space="preserve">    if the arms' IQRs overlap at i or at i+1:</w:t>
      </w:r>
      <w:r>
        <w:br/>
      </w:r>
      <w:r>
        <w:rPr>
          <w:rStyle w:val="VerbatimChar"/>
        </w:rPr>
        <w:t xml:space="preserve">        report k* as INDETERMINATE, with both brackets</w:t>
      </w:r>
      <w:r>
        <w:br/>
      </w:r>
      <w:r>
        <w:rPr>
          <w:rStyle w:val="VerbatimChar"/>
        </w:rPr>
        <w:t xml:space="preserve">    pre-registered refinement: add 3 log-spaced points inside [k_i, k_{i+1}],</w:t>
      </w:r>
      <w:r>
        <w:br/>
      </w:r>
      <w:r>
        <w:rPr>
          <w:rStyle w:val="VerbatimChar"/>
        </w:rPr>
        <w:t xml:space="preserve">        rerun, re-estimate once</w:t>
      </w:r>
    </w:p>
    <w:p>
      <w:pPr>
        <w:pStyle w:val="FirstParagraph"/>
      </w:pPr>
      <w:r>
        <w:t xml:space="preserve">The expected shape (to be tested, not assumed): federation is competitive at small k because both backends filter locally, and loses as k grows because every driving key crosses the process boundary twice. A crossover in the opposite direction, or none, is reported as found.</w:t>
      </w:r>
    </w:p>
    <w:bookmarkEnd w:id="52"/>
    <w:bookmarkStart w:id="53" w:name="statistics"/>
    <w:p>
      <w:pPr>
        <w:pStyle w:val="Heading2"/>
      </w:pPr>
      <w:r>
        <w:t xml:space="preserve">6.7 Statistics</w:t>
      </w:r>
    </w:p>
    <w:p>
      <w:pPr>
        <w:pStyle w:val="FirstParagraph"/>
      </w:pPr>
      <w:r>
        <w:t xml:space="preserve">Medians with IQR, as pre-registered in HS1 §6.4. As a supplementary statistic only, a bootstrap 95% interval of the median difference (10,000 resamples) is reported per point; it never changes an SC verdict.</w:t>
      </w:r>
      <w:r>
        <w:t xml:space="preserve"> </w:t>
      </w:r>
      <w:r>
        <w:rPr>
          <w:rStyle w:val="VerbatimChar"/>
        </w:rPr>
        <w:t xml:space="preserve">gc.collect()</w:t>
      </w:r>
      <w:r>
        <w:t xml:space="preserve"> </w:t>
      </w:r>
      <w:r>
        <w:t xml:space="preserve">runs before each timed repetition; the collector stays enabled during it, and GC pause count per run is recorded.</w:t>
      </w:r>
    </w:p>
    <w:bookmarkEnd w:id="53"/>
    <w:bookmarkEnd w:id="54"/>
    <w:bookmarkStart w:id="58" w:name="api-and-integration-contracts"/>
    <w:p>
      <w:pPr>
        <w:pStyle w:val="Heading1"/>
      </w:pPr>
      <w:r>
        <w:t xml:space="preserve">7. API and integration contracts</w:t>
      </w:r>
    </w:p>
    <w:p>
      <w:pPr>
        <w:pStyle w:val="FirstParagraph"/>
      </w:pPr>
      <w:r>
        <w:t xml:space="preserve">The engine exposes one GraphQL contract and consumes three external ones; each is pinned, has an example payload below, and has a planning-level test that runs before any feature depends on it.</w:t>
      </w:r>
    </w:p>
    <w:tbl>
      <w:tblPr>
        <w:tblStyle w:val="Table"/>
        <w:tblLook w:firstRow="1" w:lastRow="0" w:firstColumn="0" w:lastColumn="0" w:noHBand="0" w:noVBand="0" w:val="0020"/>
        <w:jc w:val="start"/>
        <w:tblW w:w="9789"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405"/>
        <w:gridCol w:w="951"/>
        <w:gridCol w:w="2985"/>
        <w:gridCol w:w="1808"/>
        <w:gridCol w:w="2640"/>
      </w:tblGrid>
      <w:tr>
        <w:trPr>
          <w:tblHeader w:val="true"/>
          <w:tblHeader w:val="true"/>
        </w:trPr>
        <w:tc>
          <w:tcPr>
            <w:tcW w:w="1405" w:type="dxa"/>
            <w:shd w:val="clear" w:color="auto" w:fill="DCE6F2"/>
          </w:tcPr>
          <w:p>
            <w:pPr>
              <w:pStyle w:val="Compact"/>
              <w:spacing w:after="20" w:before="20"/>
              <w:jc w:val="left"/>
            </w:pPr>
            <w:r>
              <w:rPr>
                <w:b/>
                <w:sz w:val="16"/>
              </w:rPr>
              <w:t xml:space="preserve">Contract</w:t>
            </w:r>
          </w:p>
        </w:tc>
        <w:tc>
          <w:tcPr>
            <w:tcW w:w="951" w:type="dxa"/>
            <w:shd w:val="clear" w:color="auto" w:fill="DCE6F2"/>
          </w:tcPr>
          <w:p>
            <w:pPr>
              <w:pStyle w:val="Compact"/>
              <w:spacing w:after="20" w:before="20"/>
              <w:jc w:val="left"/>
            </w:pPr>
            <w:r>
              <w:rPr>
                <w:b/>
                <w:sz w:val="16"/>
              </w:rPr>
              <w:t xml:space="preserve">Direction</w:t>
            </w:r>
          </w:p>
        </w:tc>
        <w:tc>
          <w:tcPr>
            <w:tcW w:w="2985" w:type="dxa"/>
            <w:shd w:val="clear" w:color="auto" w:fill="DCE6F2"/>
          </w:tcPr>
          <w:p>
            <w:pPr>
              <w:pStyle w:val="Compact"/>
              <w:spacing w:after="20" w:before="20"/>
              <w:jc w:val="left"/>
            </w:pPr>
            <w:r>
              <w:rPr>
                <w:b/>
                <w:sz w:val="16"/>
              </w:rPr>
              <w:t xml:space="preserve">Form</w:t>
            </w:r>
          </w:p>
        </w:tc>
        <w:tc>
          <w:tcPr>
            <w:tcW w:w="1808" w:type="dxa"/>
            <w:shd w:val="clear" w:color="auto" w:fill="DCE6F2"/>
          </w:tcPr>
          <w:p>
            <w:pPr>
              <w:pStyle w:val="Compact"/>
              <w:spacing w:after="20" w:before="20"/>
              <w:jc w:val="left"/>
            </w:pPr>
            <w:r>
              <w:rPr>
                <w:b/>
                <w:sz w:val="16"/>
              </w:rPr>
              <w:t xml:space="preserve">Auth</w:t>
            </w:r>
          </w:p>
        </w:tc>
        <w:tc>
          <w:tcPr>
            <w:tcW w:w="2640" w:type="dxa"/>
            <w:shd w:val="clear" w:color="auto" w:fill="DCE6F2"/>
          </w:tcPr>
          <w:p>
            <w:pPr>
              <w:pStyle w:val="Compact"/>
              <w:spacing w:after="20" w:before="20"/>
              <w:jc w:val="left"/>
            </w:pPr>
            <w:r>
              <w:rPr>
                <w:b/>
                <w:sz w:val="16"/>
              </w:rPr>
              <w:t xml:space="preserve">Planning-level test (Week 5)</w:t>
            </w:r>
          </w:p>
        </w:tc>
      </w:tr>
      <w:tr>
        <w:tc>
          <w:tcPr>
            <w:tcW w:w="1405" w:type="dxa"/>
          </w:tcPr>
          <w:p>
            <w:pPr>
              <w:pStyle w:val="Compact"/>
              <w:spacing w:after="20" w:before="20"/>
              <w:jc w:val="left"/>
            </w:pPr>
            <w:r>
              <w:rPr>
                <w:sz w:val="16"/>
              </w:rPr>
              <w:t xml:space="preserve">Engine GraphQL API</w:t>
            </w:r>
          </w:p>
        </w:tc>
        <w:tc>
          <w:tcPr>
            <w:tcW w:w="951" w:type="dxa"/>
          </w:tcPr>
          <w:p>
            <w:pPr>
              <w:pStyle w:val="Compact"/>
              <w:spacing w:after="20" w:before="20"/>
              <w:jc w:val="left"/>
            </w:pPr>
            <w:r>
              <w:rPr>
                <w:sz w:val="16"/>
              </w:rPr>
              <w:t xml:space="preserve">exposed</w:t>
            </w:r>
          </w:p>
        </w:tc>
        <w:tc>
          <w:tcPr>
            <w:tcW w:w="2985" w:type="dxa"/>
          </w:tcPr>
          <w:p>
            <w:pPr>
              <w:pStyle w:val="Compact"/>
              <w:spacing w:after="20" w:before="20"/>
              <w:jc w:val="left"/>
            </w:pPr>
            <w:r>
              <w:rPr>
                <w:sz w:val="16"/>
              </w:rPr>
              <w:t xml:space="preserve">Python</w:t>
            </w:r>
            <w:r>
              <w:rPr>
                <w:sz w:val="16"/>
              </w:rPr>
              <w:t xml:space="preserve"> </w:t>
            </w:r>
            <w:r>
              <w:rPr>
                <w:rStyle w:val="VerbatimChar"/>
                <w:sz w:val="16"/>
              </w:rPr>
              <w:t xml:space="preserve">Engine.execute(query, variables) -&gt; ExecutionResult</w:t>
            </w:r>
            <w:r>
              <w:rPr>
                <w:sz w:val="16"/>
              </w:rPr>
              <w:t xml:space="preserve">; optional</w:t>
            </w:r>
            <w:r>
              <w:rPr>
                <w:sz w:val="16"/>
              </w:rPr>
              <w:t xml:space="preserve"> </w:t>
            </w:r>
            <w:r>
              <w:rPr>
                <w:rStyle w:val="VerbatimChar"/>
                <w:sz w:val="16"/>
              </w:rPr>
              <w:t xml:space="preserve">POST /graphql</w:t>
            </w:r>
            <w:r>
              <w:rPr>
                <w:sz w:val="16"/>
              </w:rPr>
              <w:t xml:space="preserve"> </w:t>
            </w:r>
            <w:r>
              <w:rPr>
                <w:sz w:val="16"/>
              </w:rPr>
              <w:t xml:space="preserve">(Starlette) for E-6 parity with Hasura</w:t>
            </w:r>
          </w:p>
        </w:tc>
        <w:tc>
          <w:tcPr>
            <w:tcW w:w="1808" w:type="dxa"/>
          </w:tcPr>
          <w:p>
            <w:pPr>
              <w:pStyle w:val="Compact"/>
              <w:spacing w:after="20" w:before="20"/>
              <w:jc w:val="left"/>
            </w:pPr>
            <w:r>
              <w:rPr>
                <w:sz w:val="16"/>
              </w:rPr>
              <w:t xml:space="preserve">none (local only; R11)</w:t>
            </w:r>
          </w:p>
        </w:tc>
        <w:tc>
          <w:tcPr>
            <w:tcW w:w="2640" w:type="dxa"/>
          </w:tcPr>
          <w:p>
            <w:pPr>
              <w:pStyle w:val="Compact"/>
              <w:spacing w:after="20" w:before="20"/>
              <w:jc w:val="left"/>
            </w:pPr>
            <w:r>
              <w:rPr>
                <w:sz w:val="16"/>
              </w:rPr>
              <w:t xml:space="preserve">T-I0: one query round-trips through both entry points</w:t>
            </w:r>
          </w:p>
        </w:tc>
      </w:tr>
      <w:tr>
        <w:tc>
          <w:tcPr>
            <w:tcW w:w="1405" w:type="dxa"/>
          </w:tcPr>
          <w:p>
            <w:pPr>
              <w:pStyle w:val="Compact"/>
              <w:spacing w:after="20" w:before="20"/>
              <w:jc w:val="left"/>
            </w:pPr>
            <w:r>
              <w:rPr>
                <w:sz w:val="16"/>
              </w:rPr>
              <w:t xml:space="preserve">PostgreSQL wire</w:t>
            </w:r>
          </w:p>
        </w:tc>
        <w:tc>
          <w:tcPr>
            <w:tcW w:w="951" w:type="dxa"/>
          </w:tcPr>
          <w:p>
            <w:pPr>
              <w:pStyle w:val="Compact"/>
              <w:spacing w:after="20" w:before="20"/>
              <w:jc w:val="left"/>
            </w:pPr>
            <w:r>
              <w:rPr>
                <w:sz w:val="16"/>
              </w:rPr>
              <w:t xml:space="preserve">consumed</w:t>
            </w:r>
          </w:p>
        </w:tc>
        <w:tc>
          <w:tcPr>
            <w:tcW w:w="2985" w:type="dxa"/>
          </w:tcPr>
          <w:p>
            <w:pPr>
              <w:pStyle w:val="Compact"/>
              <w:spacing w:after="20" w:before="20"/>
              <w:jc w:val="left"/>
            </w:pPr>
            <w:r>
              <w:rPr>
                <w:sz w:val="16"/>
              </w:rPr>
              <w:t xml:space="preserve">psycopg 3, server-side parameters, text format</w:t>
            </w:r>
          </w:p>
        </w:tc>
        <w:tc>
          <w:tcPr>
            <w:tcW w:w="1808" w:type="dxa"/>
          </w:tcPr>
          <w:p>
            <w:pPr>
              <w:pStyle w:val="Compact"/>
              <w:spacing w:after="20" w:before="20"/>
              <w:jc w:val="left"/>
            </w:pPr>
            <w:r>
              <w:rPr>
                <w:sz w:val="16"/>
              </w:rPr>
              <w:t xml:space="preserve">user/password from</w:t>
            </w:r>
            <w:r>
              <w:rPr>
                <w:sz w:val="16"/>
              </w:rPr>
              <w:t xml:space="preserve"> </w:t>
            </w:r>
            <w:r>
              <w:rPr>
                <w:rStyle w:val="VerbatimChar"/>
                <w:sz w:val="16"/>
              </w:rPr>
              <w:t xml:space="preserve">.env</w:t>
            </w:r>
            <w:r>
              <w:rPr>
                <w:sz w:val="16"/>
              </w:rPr>
              <w:t xml:space="preserve"> </w:t>
            </w:r>
            <w:r>
              <w:rPr>
                <w:sz w:val="16"/>
              </w:rPr>
              <w:t xml:space="preserve">(never committed)</w:t>
            </w:r>
          </w:p>
        </w:tc>
        <w:tc>
          <w:tcPr>
            <w:tcW w:w="2640" w:type="dxa"/>
          </w:tcPr>
          <w:p>
            <w:pPr>
              <w:pStyle w:val="Compact"/>
              <w:spacing w:after="20" w:before="20"/>
              <w:jc w:val="left"/>
            </w:pPr>
            <w:r>
              <w:rPr>
                <w:sz w:val="16"/>
              </w:rPr>
              <w:t xml:space="preserve">T-I0:</w:t>
            </w:r>
            <w:r>
              <w:rPr>
                <w:sz w:val="16"/>
              </w:rPr>
              <w:t xml:space="preserve"> </w:t>
            </w:r>
            <w:r>
              <w:rPr>
                <w:rStyle w:val="VerbatimChar"/>
                <w:sz w:val="16"/>
              </w:rPr>
              <w:t xml:space="preserve">SELECT 1</w:t>
            </w:r>
            <w:r>
              <w:rPr>
                <w:sz w:val="16"/>
              </w:rPr>
              <w:t xml:space="preserve"> </w:t>
            </w:r>
            <w:r>
              <w:rPr>
                <w:sz w:val="16"/>
              </w:rPr>
              <w:t xml:space="preserve">+ one parameterized</w:t>
            </w:r>
            <w:r>
              <w:rPr>
                <w:sz w:val="16"/>
              </w:rPr>
              <w:t xml:space="preserve"> </w:t>
            </w:r>
            <w:r>
              <w:rPr>
                <w:rStyle w:val="VerbatimChar"/>
                <w:sz w:val="16"/>
              </w:rPr>
              <w:t xml:space="preserve">WHERE</w:t>
            </w:r>
          </w:p>
        </w:tc>
      </w:tr>
      <w:tr>
        <w:tc>
          <w:tcPr>
            <w:tcW w:w="1405" w:type="dxa"/>
          </w:tcPr>
          <w:p>
            <w:pPr>
              <w:pStyle w:val="Compact"/>
              <w:spacing w:after="20" w:before="20"/>
              <w:jc w:val="left"/>
            </w:pPr>
            <w:r>
              <w:rPr>
                <w:sz w:val="16"/>
              </w:rPr>
              <w:t xml:space="preserve">MongoDB wire</w:t>
            </w:r>
          </w:p>
        </w:tc>
        <w:tc>
          <w:tcPr>
            <w:tcW w:w="951" w:type="dxa"/>
          </w:tcPr>
          <w:p>
            <w:pPr>
              <w:pStyle w:val="Compact"/>
              <w:spacing w:after="20" w:before="20"/>
              <w:jc w:val="left"/>
            </w:pPr>
            <w:r>
              <w:rPr>
                <w:sz w:val="16"/>
              </w:rPr>
              <w:t xml:space="preserve">consumed</w:t>
            </w:r>
          </w:p>
        </w:tc>
        <w:tc>
          <w:tcPr>
            <w:tcW w:w="2985" w:type="dxa"/>
          </w:tcPr>
          <w:p>
            <w:pPr>
              <w:pStyle w:val="Compact"/>
              <w:spacing w:after="20" w:before="20"/>
              <w:jc w:val="left"/>
            </w:pPr>
            <w:r>
              <w:rPr>
                <w:sz w:val="16"/>
              </w:rPr>
              <w:t xml:space="preserve">pymongo 4,</w:t>
            </w:r>
            <w:r>
              <w:rPr>
                <w:sz w:val="16"/>
              </w:rPr>
              <w:t xml:space="preserve"> </w:t>
            </w:r>
            <w:r>
              <w:rPr>
                <w:rStyle w:val="VerbatimChar"/>
                <w:sz w:val="16"/>
              </w:rPr>
              <w:t xml:space="preserve">aggregate()</w:t>
            </w:r>
            <w:r>
              <w:rPr>
                <w:sz w:val="16"/>
              </w:rPr>
              <w:t xml:space="preserve"> </w:t>
            </w:r>
            <w:r>
              <w:rPr>
                <w:sz w:val="16"/>
              </w:rPr>
              <w:t xml:space="preserve">with</w:t>
            </w:r>
            <w:r>
              <w:rPr>
                <w:sz w:val="16"/>
              </w:rPr>
              <w:t xml:space="preserve"> </w:t>
            </w:r>
            <w:r>
              <w:rPr>
                <w:rStyle w:val="VerbatimChar"/>
                <w:sz w:val="16"/>
              </w:rPr>
              <w:t xml:space="preserve">RawBSONDocument</w:t>
            </w:r>
          </w:p>
        </w:tc>
        <w:tc>
          <w:tcPr>
            <w:tcW w:w="1808" w:type="dxa"/>
          </w:tcPr>
          <w:p>
            <w:pPr>
              <w:pStyle w:val="Compact"/>
              <w:spacing w:after="20" w:before="20"/>
              <w:jc w:val="left"/>
            </w:pPr>
            <w:r>
              <w:rPr>
                <w:sz w:val="16"/>
              </w:rPr>
              <w:t xml:space="preserve">same</w:t>
            </w:r>
            <w:r>
              <w:rPr>
                <w:sz w:val="16"/>
              </w:rPr>
              <w:t xml:space="preserve"> </w:t>
            </w:r>
            <w:r>
              <w:rPr>
                <w:rStyle w:val="VerbatimChar"/>
                <w:sz w:val="16"/>
              </w:rPr>
              <w:t xml:space="preserve">.env</w:t>
            </w:r>
          </w:p>
        </w:tc>
        <w:tc>
          <w:tcPr>
            <w:tcW w:w="2640" w:type="dxa"/>
          </w:tcPr>
          <w:p>
            <w:pPr>
              <w:pStyle w:val="Compact"/>
              <w:spacing w:after="20" w:before="20"/>
              <w:jc w:val="left"/>
            </w:pPr>
            <w:r>
              <w:rPr>
                <w:sz w:val="16"/>
              </w:rPr>
              <w:t xml:space="preserve">T-I0:</w:t>
            </w:r>
            <w:r>
              <w:rPr>
                <w:sz w:val="16"/>
              </w:rPr>
              <w:t xml:space="preserve"> </w:t>
            </w:r>
            <w:r>
              <w:rPr>
                <w:rStyle w:val="VerbatimChar"/>
                <w:sz w:val="16"/>
              </w:rPr>
              <w:t xml:space="preserve">$match</w:t>
            </w:r>
            <w:r>
              <w:rPr>
                <w:sz w:val="16"/>
              </w:rPr>
              <w:t xml:space="preserve"> </w:t>
            </w:r>
            <w:r>
              <w:rPr>
                <w:sz w:val="16"/>
              </w:rPr>
              <w:t xml:space="preserve">+</w:t>
            </w:r>
            <w:r>
              <w:rPr>
                <w:sz w:val="16"/>
              </w:rPr>
              <w:t xml:space="preserve"> </w:t>
            </w:r>
            <w:r>
              <w:rPr>
                <w:rStyle w:val="VerbatimChar"/>
                <w:sz w:val="16"/>
              </w:rPr>
              <w:t xml:space="preserve">$in</w:t>
            </w:r>
            <w:r>
              <w:rPr>
                <w:sz w:val="16"/>
              </w:rPr>
              <w:t xml:space="preserve"> </w:t>
            </w:r>
            <w:r>
              <w:rPr>
                <w:sz w:val="16"/>
              </w:rPr>
              <w:t xml:space="preserve">on 1,000 keys</w:t>
            </w:r>
          </w:p>
        </w:tc>
      </w:tr>
      <w:tr>
        <w:tc>
          <w:tcPr>
            <w:tcW w:w="1405" w:type="dxa"/>
          </w:tcPr>
          <w:p>
            <w:pPr>
              <w:pStyle w:val="Compact"/>
              <w:spacing w:after="20" w:before="20"/>
              <w:jc w:val="left"/>
            </w:pPr>
            <w:r>
              <w:rPr>
                <w:sz w:val="16"/>
              </w:rPr>
              <w:t xml:space="preserve">Hasura DDN (comparator)</w:t>
            </w:r>
          </w:p>
        </w:tc>
        <w:tc>
          <w:tcPr>
            <w:tcW w:w="951" w:type="dxa"/>
          </w:tcPr>
          <w:p>
            <w:pPr>
              <w:pStyle w:val="Compact"/>
              <w:spacing w:after="20" w:before="20"/>
              <w:jc w:val="left"/>
            </w:pPr>
            <w:r>
              <w:rPr>
                <w:sz w:val="16"/>
              </w:rPr>
              <w:t xml:space="preserve">consumed</w:t>
            </w:r>
          </w:p>
        </w:tc>
        <w:tc>
          <w:tcPr>
            <w:tcW w:w="2985" w:type="dxa"/>
          </w:tcPr>
          <w:p>
            <w:pPr>
              <w:pStyle w:val="Compact"/>
              <w:spacing w:after="20" w:before="20"/>
              <w:jc w:val="left"/>
            </w:pPr>
            <w:r>
              <w:rPr>
                <w:sz w:val="16"/>
              </w:rPr>
              <w:t xml:space="preserve">DDN CLI, OpenDD/HML metadata, local engine in Docker, GraphQL over HTTP</w:t>
            </w:r>
          </w:p>
        </w:tc>
        <w:tc>
          <w:tcPr>
            <w:tcW w:w="1808" w:type="dxa"/>
          </w:tcPr>
          <w:p>
            <w:pPr>
              <w:pStyle w:val="Compact"/>
              <w:spacing w:after="20" w:before="20"/>
              <w:jc w:val="left"/>
            </w:pPr>
            <w:r>
              <w:rPr>
                <w:sz w:val="16"/>
              </w:rPr>
              <w:t xml:space="preserve">Hasura Cloud login for the CLI (see §12)</w:t>
            </w:r>
          </w:p>
        </w:tc>
        <w:tc>
          <w:tcPr>
            <w:tcW w:w="2640" w:type="dxa"/>
          </w:tcPr>
          <w:p>
            <w:pPr>
              <w:pStyle w:val="Compact"/>
              <w:spacing w:after="20" w:before="20"/>
              <w:jc w:val="left"/>
            </w:pPr>
            <w:r>
              <w:rPr>
                <w:sz w:val="16"/>
              </w:rPr>
              <w:t xml:space="preserve">Spike S-1: local supergraph over</w:t>
            </w:r>
            <w:r>
              <w:rPr>
                <w:sz w:val="16"/>
              </w:rPr>
              <w:t xml:space="preserve"> </w:t>
            </w:r>
            <w:r>
              <w:rPr>
                <w:rStyle w:val="VerbatimChar"/>
                <w:sz w:val="16"/>
              </w:rPr>
              <w:t xml:space="preserve">pg-fed</w:t>
            </w:r>
            <w:r>
              <w:rPr>
                <w:sz w:val="16"/>
              </w:rPr>
              <w:t xml:space="preserve"> </w:t>
            </w:r>
            <w:r>
              <w:rPr>
                <w:sz w:val="16"/>
              </w:rPr>
              <w:t xml:space="preserve">+</w:t>
            </w:r>
            <w:r>
              <w:rPr>
                <w:sz w:val="16"/>
              </w:rPr>
              <w:t xml:space="preserve"> </w:t>
            </w:r>
            <w:r>
              <w:rPr>
                <w:rStyle w:val="VerbatimChar"/>
                <w:sz w:val="16"/>
              </w:rPr>
              <w:t xml:space="preserve">mongo-fed</w:t>
            </w:r>
            <w:r>
              <w:rPr>
                <w:sz w:val="16"/>
              </w:rPr>
              <w:t xml:space="preserve"> </w:t>
            </w:r>
            <w:r>
              <w:rPr>
                <w:sz w:val="16"/>
              </w:rPr>
              <w:t xml:space="preserve">with one cross-connector relationship</w:t>
            </w:r>
          </w:p>
        </w:tc>
      </w:tr>
    </w:tbl>
    <w:bookmarkStart w:id="55" w:name="X5bb1996c3516721de5b6402362d112264305690"/>
    <w:p>
      <w:pPr>
        <w:pStyle w:val="Heading2"/>
      </w:pPr>
      <w:r>
        <w:t xml:space="preserve">7.1 Example: request, response, and what each backend receives</w:t>
      </w:r>
    </w:p>
    <w:p>
      <w:pPr>
        <w:pStyle w:val="SourceCode"/>
      </w:pPr>
      <w:r>
        <w:rPr>
          <w:rStyle w:val="KeywordTok"/>
        </w:rPr>
        <w:t xml:space="preserve">query</w:t>
      </w:r>
      <w:r>
        <w:rPr>
          <w:rStyle w:val="NormalTok"/>
        </w:rPr>
        <w:t xml:space="preserve"> FinnishCustomers {</w:t>
      </w:r>
      <w:r>
        <w:br/>
      </w:r>
      <w:r>
        <w:rPr>
          <w:rStyle w:val="NormalTok"/>
        </w:rPr>
        <w:t xml:space="preserve">  customers(where: {country: {eq: </w:t>
      </w:r>
      <w:r>
        <w:rPr>
          <w:rStyle w:val="StringTok"/>
        </w:rPr>
        <w:t xml:space="preserve">"FI"</w:t>
      </w:r>
      <w:r>
        <w:rPr>
          <w:rStyle w:val="NormalTok"/>
        </w:rPr>
        <w:t xml:space="preserve">}, sel: {lt: </w:t>
      </w:r>
      <w:r>
        <w:rPr>
          <w:rStyle w:val="DecValTok"/>
        </w:rPr>
        <w:t xml:space="preserve">100</w:t>
      </w:r>
      <w:r>
        <w:rPr>
          <w:rStyle w:val="NormalTok"/>
        </w:rPr>
        <w:t xml:space="preserve">}}, limit: </w:t>
      </w:r>
      <w:r>
        <w:rPr>
          <w:rStyle w:val="DecValTok"/>
        </w:rPr>
        <w:t xml:space="preserve">2</w:t>
      </w:r>
      <w:r>
        <w:rPr>
          <w:rStyle w:val="NormalTok"/>
        </w:rPr>
        <w:t xml:space="preserve">) {</w:t>
      </w:r>
      <w:r>
        <w:br/>
      </w:r>
      <w:r>
        <w:rPr>
          <w:rStyle w:val="NormalTok"/>
        </w:rPr>
        <w:t xml:space="preserve">    id</w:t>
      </w:r>
      <w:r>
        <w:br/>
      </w:r>
      <w:r>
        <w:rPr>
          <w:rStyle w:val="NormalTok"/>
        </w:rPr>
        <w:t xml:space="preserve">    email</w:t>
      </w:r>
      <w:r>
        <w:br/>
      </w:r>
      <w:r>
        <w:rPr>
          <w:rStyle w:val="NormalTok"/>
        </w:rPr>
        <w:t xml:space="preserve">    orders(where: {totalCents: {gte: </w:t>
      </w:r>
      <w:r>
        <w:rPr>
          <w:rStyle w:val="DecValTok"/>
        </w:rPr>
        <w:t xml:space="preserve">5000</w:t>
      </w:r>
      <w:r>
        <w:rPr>
          <w:rStyle w:val="NormalTok"/>
        </w:rPr>
        <w:t xml:space="preserve">}}) { id totalCents }</w:t>
      </w:r>
      <w:r>
        <w:br/>
      </w:r>
      <w:r>
        <w:rPr>
          <w:rStyle w:val="NormalTok"/>
        </w:rPr>
        <w:t xml:space="preserve">  }</w:t>
      </w:r>
      <w:r>
        <w:br/>
      </w:r>
      <w:r>
        <w:rPr>
          <w:rStyle w:val="NormalTok"/>
        </w:rPr>
        <w:t xml:space="preserve">}</w:t>
      </w:r>
    </w:p>
    <w:p>
      <w:pPr>
        <w:pStyle w:val="FirstParagraph"/>
      </w:pPr>
      <w:r>
        <w:t xml:space="preserve">PostgreSQL receives (R1 + R3 + R4):</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email </w:t>
      </w:r>
      <w:r>
        <w:rPr>
          <w:rStyle w:val="KeywordTok"/>
        </w:rPr>
        <w:t xml:space="preserve">FROM</w:t>
      </w:r>
      <w:r>
        <w:rPr>
          <w:rStyle w:val="NormalTok"/>
        </w:rPr>
        <w:t xml:space="preserve"> customer</w:t>
      </w:r>
      <w:r>
        <w:br/>
      </w:r>
      <w:r>
        <w:rPr>
          <w:rStyle w:val="KeywordTok"/>
        </w:rPr>
        <w:t xml:space="preserve">WHERE</w:t>
      </w:r>
      <w:r>
        <w:rPr>
          <w:rStyle w:val="NormalTok"/>
        </w:rPr>
        <w:t xml:space="preserve"> country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sel </w:t>
      </w:r>
      <w:r>
        <w:rPr>
          <w:rStyle w:val="OperatorTok"/>
        </w:rPr>
        <w:t xml:space="preserve">&lt;</w:t>
      </w:r>
      <w:r>
        <w:rPr>
          <w:rStyle w:val="NormalTok"/>
        </w:rPr>
        <w:t xml:space="preserve"> $</w:t>
      </w:r>
      <w:r>
        <w:rPr>
          <w:rStyle w:val="DecValTok"/>
        </w:rPr>
        <w:t xml:space="preserve">2</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LIMIT</w:t>
      </w:r>
      <w:r>
        <w:rPr>
          <w:rStyle w:val="NormalTok"/>
        </w:rPr>
        <w:t xml:space="preserve"> </w:t>
      </w:r>
      <w:r>
        <w:rPr>
          <w:rStyle w:val="DecValTok"/>
        </w:rPr>
        <w:t xml:space="preserve">2</w:t>
      </w:r>
      <w:r>
        <w:rPr>
          <w:rStyle w:val="NormalTok"/>
        </w:rPr>
        <w:t xml:space="preserve">;            </w:t>
      </w:r>
      <w:r>
        <w:rPr>
          <w:rStyle w:val="CommentTok"/>
        </w:rPr>
        <w:t xml:space="preserve">-- $1='FI', $2=100</w:t>
      </w:r>
    </w:p>
    <w:p>
      <w:pPr>
        <w:pStyle w:val="FirstParagraph"/>
      </w:pPr>
      <w:r>
        <w:t xml:space="preserve">MongoDB receives (R1 + R2 + R3), one batch of at most 1,000 keys:</w:t>
      </w:r>
    </w:p>
    <w:p>
      <w:pPr>
        <w:pStyle w:val="SourceCode"/>
      </w:pPr>
      <w:r>
        <w:rPr>
          <w:rStyle w:val="OtherTok"/>
        </w:rPr>
        <w:t xml:space="preserve">[</w:t>
      </w:r>
      <w:r>
        <w:rPr>
          <w:rStyle w:val="NormalTok"/>
        </w:rPr>
        <w:t xml:space="preserve"> </w:t>
      </w:r>
      <w:r>
        <w:rPr>
          <w:rStyle w:val="FunctionTok"/>
        </w:rPr>
        <w:t xml:space="preserve">{</w:t>
      </w:r>
      <w:r>
        <w:rPr>
          <w:rStyle w:val="DataTypeTok"/>
        </w:rPr>
        <w:t xml:space="preserve">"$match"</w:t>
      </w:r>
      <w:r>
        <w:rPr>
          <w:rStyle w:val="FunctionTok"/>
        </w:rPr>
        <w:t xml:space="preserve">:</w:t>
      </w:r>
      <w:r>
        <w:rPr>
          <w:rStyle w:val="NormalTok"/>
        </w:rPr>
        <w:t xml:space="preserve"> </w:t>
      </w:r>
      <w:r>
        <w:rPr>
          <w:rStyle w:val="FunctionTok"/>
        </w:rPr>
        <w:t xml:space="preserve">{</w:t>
      </w:r>
      <w:r>
        <w:rPr>
          <w:rStyle w:val="DataTypeTok"/>
        </w:rPr>
        <w:t xml:space="preserve">"customerId"</w:t>
      </w:r>
      <w:r>
        <w:rPr>
          <w:rStyle w:val="FunctionTok"/>
        </w:rPr>
        <w:t xml:space="preserve">:</w:t>
      </w:r>
      <w:r>
        <w:rPr>
          <w:rStyle w:val="NormalTok"/>
        </w:rPr>
        <w:t xml:space="preserve"> </w:t>
      </w:r>
      <w:r>
        <w:rPr>
          <w:rStyle w:val="FunctionTok"/>
        </w:rPr>
        <w:t xml:space="preserve">{</w:t>
      </w:r>
      <w:r>
        <w:rPr>
          <w:rStyle w:val="DataTypeTok"/>
        </w:rPr>
        <w:t xml:space="preserve">"$in"</w:t>
      </w:r>
      <w:r>
        <w:rPr>
          <w:rStyle w:val="FunctionTok"/>
        </w:rPr>
        <w:t xml:space="preserve">:</w:t>
      </w:r>
      <w:r>
        <w:rPr>
          <w:rStyle w:val="NormalTok"/>
        </w:rPr>
        <w:t xml:space="preserve"> </w:t>
      </w:r>
      <w:r>
        <w:rPr>
          <w:rStyle w:val="OtherTok"/>
        </w:rPr>
        <w:t xml:space="preserve">[</w:t>
      </w:r>
      <w:r>
        <w:rPr>
          <w:rStyle w:val="DecValTok"/>
        </w:rPr>
        <w:t xml:space="preserve">104</w:t>
      </w:r>
      <w:r>
        <w:rPr>
          <w:rStyle w:val="OtherTok"/>
        </w:rPr>
        <w:t xml:space="preserve">,</w:t>
      </w:r>
      <w:r>
        <w:rPr>
          <w:rStyle w:val="NormalTok"/>
        </w:rPr>
        <w:t xml:space="preserve"> </w:t>
      </w:r>
      <w:r>
        <w:rPr>
          <w:rStyle w:val="DecValTok"/>
        </w:rPr>
        <w:t xml:space="preserve">2211</w:t>
      </w:r>
      <w:r>
        <w:rPr>
          <w:rStyle w:val="OtherTok"/>
        </w:rPr>
        <w:t xml:space="preserve">]</w:t>
      </w:r>
      <w:r>
        <w:rPr>
          <w:rStyle w:val="FunctionTok"/>
        </w:rPr>
        <w:t xml:space="preserve">},</w:t>
      </w:r>
      <w:r>
        <w:rPr>
          <w:rStyle w:val="NormalTok"/>
        </w:rPr>
        <w:t xml:space="preserve"> </w:t>
      </w:r>
      <w:r>
        <w:rPr>
          <w:rStyle w:val="DataTypeTok"/>
        </w:rPr>
        <w:t xml:space="preserve">"totalCents"</w:t>
      </w:r>
      <w:r>
        <w:rPr>
          <w:rStyle w:val="FunctionTok"/>
        </w:rPr>
        <w:t xml:space="preserve">:</w:t>
      </w:r>
      <w:r>
        <w:rPr>
          <w:rStyle w:val="NormalTok"/>
        </w:rPr>
        <w:t xml:space="preserve"> </w:t>
      </w:r>
      <w:r>
        <w:rPr>
          <w:rStyle w:val="FunctionTok"/>
        </w:rPr>
        <w:t xml:space="preserve">{</w:t>
      </w:r>
      <w:r>
        <w:rPr>
          <w:rStyle w:val="DataTypeTok"/>
        </w:rPr>
        <w:t xml:space="preserve">"$gte"</w:t>
      </w:r>
      <w:r>
        <w:rPr>
          <w:rStyle w:val="FunctionTok"/>
        </w:rPr>
        <w:t xml:space="preserve">:</w:t>
      </w:r>
      <w:r>
        <w:rPr>
          <w:rStyle w:val="NormalTok"/>
        </w:rPr>
        <w:t xml:space="preserve"> </w:t>
      </w:r>
      <w:r>
        <w:rPr>
          <w:rStyle w:val="DecValTok"/>
        </w:rPr>
        <w:t xml:space="preserve">5000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"$project"</w:t>
      </w:r>
      <w:r>
        <w:rPr>
          <w:rStyle w:val="FunctionTok"/>
        </w:rPr>
        <w:t xml:space="preserve">:</w:t>
      </w:r>
      <w:r>
        <w:rPr>
          <w:rStyle w:val="NormalTok"/>
        </w:rPr>
        <w:t xml:space="preserve"> </w:t>
      </w:r>
      <w:r>
        <w:rPr>
          <w:rStyle w:val="FunctionTok"/>
        </w:rPr>
        <w:t xml:space="preserve">{</w:t>
      </w:r>
      <w:r>
        <w:rPr>
          <w:rStyle w:val="DataTypeTok"/>
        </w:rPr>
        <w:t xml:space="preserve">"_id"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"totalCents"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OtherTok"/>
        </w:rPr>
        <w:t xml:space="preserve">]</w:t>
      </w:r>
    </w:p>
    <w:p>
      <w:pPr>
        <w:pStyle w:val="FirstParagraph"/>
      </w:pPr>
      <w:r>
        <w:t xml:space="preserve">Response (shape only; values illustrative, not measured):</w:t>
      </w:r>
    </w:p>
    <w:p>
      <w:pPr>
        <w:pStyle w:val="SourceCode"/>
      </w:pP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"customers"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"104"</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"c000104@example.invalid"</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"88120"</w:t>
      </w:r>
      <w:r>
        <w:rPr>
          <w:rStyle w:val="FunctionTok"/>
        </w:rPr>
        <w:t xml:space="preserve">,</w:t>
      </w:r>
      <w:r>
        <w:rPr>
          <w:rStyle w:val="NormalTok"/>
        </w:rPr>
        <w:t xml:space="preserve"> </w:t>
      </w:r>
      <w:r>
        <w:rPr>
          <w:rStyle w:val="DataTypeTok"/>
        </w:rPr>
        <w:t xml:space="preserve">"totalCents"</w:t>
      </w:r>
      <w:r>
        <w:rPr>
          <w:rStyle w:val="FunctionTok"/>
        </w:rPr>
        <w:t xml:space="preserve">:</w:t>
      </w:r>
      <w:r>
        <w:rPr>
          <w:rStyle w:val="NormalTok"/>
        </w:rPr>
        <w:t xml:space="preserve"> </w:t>
      </w:r>
      <w:r>
        <w:rPr>
          <w:rStyle w:val="DecValTok"/>
        </w:rPr>
        <w:t xml:space="preserve">7350</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"2211"</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"c002211@example.invalid"</w:t>
      </w:r>
      <w:r>
        <w:rPr>
          <w:rStyle w:val="FunctionTok"/>
        </w:rPr>
        <w:t xml:space="preserve">,</w:t>
      </w:r>
      <w:r>
        <w:rPr>
          <w:rStyle w:val="NormalTok"/>
        </w:rPr>
        <w:t xml:space="preserve"> </w:t>
      </w:r>
      <w:r>
        <w:rPr>
          <w:rStyle w:val="DataTypeTok"/>
        </w:rPr>
        <w:t xml:space="preserve">"orders"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"trace"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"plan_ms"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"backends"</w:t>
      </w:r>
      <w:r>
        <w:rPr>
          <w:rStyle w:val="FunctionTok"/>
        </w:rPr>
        <w:t xml:space="preserve">:</w:t>
      </w:r>
      <w:r>
        <w:rPr>
          <w:rStyle w:val="NormalTok"/>
        </w:rPr>
        <w:t xml:space="preserve"> </w:t>
      </w:r>
      <w:r>
        <w:rPr>
          <w:rStyle w:val="FunctionTok"/>
        </w:rPr>
        <w:t xml:space="preserve">{</w:t>
      </w:r>
      <w:r>
        <w:rPr>
          <w:rStyle w:val="DataTypeTok"/>
        </w:rPr>
        <w:t xml:space="preserve">"pg"</w:t>
      </w:r>
      <w:r>
        <w:rPr>
          <w:rStyle w:val="FunctionTok"/>
        </w:rPr>
        <w:t xml:space="preserve">:</w:t>
      </w:r>
      <w:r>
        <w:rPr>
          <w:rStyle w:val="NormalTok"/>
        </w:rPr>
        <w:t xml:space="preserve"> </w:t>
      </w:r>
      <w:r>
        <w:rPr>
          <w:rStyle w:val="FunctionTok"/>
        </w:rPr>
        <w:t xml:space="preserve">{</w:t>
      </w:r>
      <w:r>
        <w:rPr>
          <w:rStyle w:val="DataTypeTok"/>
        </w:rPr>
        <w:t xml:space="preserve">"bytes"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"mongo"</w:t>
      </w:r>
      <w:r>
        <w:rPr>
          <w:rStyle w:val="FunctionTok"/>
        </w:rPr>
        <w:t xml:space="preserve">:</w:t>
      </w:r>
      <w:r>
        <w:rPr>
          <w:rStyle w:val="NormalTok"/>
        </w:rPr>
        <w:t xml:space="preserve"> </w:t>
      </w:r>
      <w:r>
        <w:rPr>
          <w:rStyle w:val="FunctionTok"/>
        </w:rPr>
        <w:t xml:space="preserve">{</w:t>
      </w:r>
      <w:r>
        <w:rPr>
          <w:rStyle w:val="DataTypeTok"/>
        </w:rPr>
        <w:t xml:space="preserve">"bytes"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bookmarkEnd w:id="55"/>
    <w:bookmarkStart w:id="56" w:name="error-contract"/>
    <w:p>
      <w:pPr>
        <w:pStyle w:val="Heading2"/>
      </w:pPr>
      <w:r>
        <w:t xml:space="preserve">7.2 Error contract</w:t>
      </w:r>
    </w:p>
    <w:p>
      <w:pPr>
        <w:pStyle w:val="FirstParagraph"/>
      </w:pPr>
      <w:r>
        <w:t xml:space="preserve">Errors follow the GraphQL spec</w:t>
      </w:r>
      <w:r>
        <w:t xml:space="preserve"> </w:t>
      </w:r>
      <w:r>
        <w:rPr>
          <w:rStyle w:val="VerbatimChar"/>
        </w:rPr>
        <w:t xml:space="preserve">errors</w:t>
      </w:r>
      <w:r>
        <w:t xml:space="preserve"> </w:t>
      </w:r>
      <w:r>
        <w:t xml:space="preserve">array with a stable</w:t>
      </w:r>
      <w:r>
        <w:t xml:space="preserve"> </w:t>
      </w:r>
      <w:r>
        <w:rPr>
          <w:rStyle w:val="VerbatimChar"/>
        </w:rPr>
        <w:t xml:space="preserve">extensions.code</w:t>
      </w:r>
      <w:r>
        <w:t xml:space="preserve">, so conformance tests assert codes rather than message text.</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2572"/>
        <w:gridCol w:w="2466"/>
        <w:gridCol w:w="4753"/>
      </w:tblGrid>
      <w:tr>
        <w:trPr>
          <w:tblHeader w:val="true"/>
          <w:tblHeader w:val="true"/>
        </w:trPr>
        <w:tc>
          <w:tcPr>
            <w:tcW w:w="2572" w:type="dxa"/>
            <w:shd w:val="clear" w:color="auto" w:fill="DCE6F2"/>
          </w:tcPr>
          <w:p>
            <w:pPr>
              <w:pStyle w:val="Compact"/>
              <w:spacing w:after="20" w:before="20"/>
              <w:jc w:val="left"/>
            </w:pPr>
            <w:r>
              <w:rPr>
                <w:b/>
                <w:sz w:val="18"/>
              </w:rPr>
              <w:t xml:space="preserve">Code</w:t>
            </w:r>
          </w:p>
        </w:tc>
        <w:tc>
          <w:tcPr>
            <w:tcW w:w="2466" w:type="dxa"/>
            <w:shd w:val="clear" w:color="auto" w:fill="DCE6F2"/>
          </w:tcPr>
          <w:p>
            <w:pPr>
              <w:pStyle w:val="Compact"/>
              <w:spacing w:after="20" w:before="20"/>
              <w:jc w:val="left"/>
            </w:pPr>
            <w:r>
              <w:rPr>
                <w:b/>
                <w:sz w:val="18"/>
              </w:rPr>
              <w:t xml:space="preserve">Raised by</w:t>
            </w:r>
          </w:p>
        </w:tc>
        <w:tc>
          <w:tcPr>
            <w:tcW w:w="4753" w:type="dxa"/>
            <w:shd w:val="clear" w:color="auto" w:fill="DCE6F2"/>
          </w:tcPr>
          <w:p>
            <w:pPr>
              <w:pStyle w:val="Compact"/>
              <w:spacing w:after="20" w:before="20"/>
              <w:jc w:val="left"/>
            </w:pPr>
            <w:r>
              <w:rPr>
                <w:b/>
                <w:sz w:val="18"/>
              </w:rPr>
              <w:t xml:space="preserve">Example cause</w:t>
            </w:r>
          </w:p>
        </w:tc>
      </w:tr>
      <w:tr>
        <w:tc>
          <w:tcPr>
            <w:tcW w:w="2572" w:type="dxa"/>
          </w:tcPr>
          <w:p>
            <w:pPr>
              <w:pStyle w:val="Compact"/>
              <w:spacing w:after="20" w:before="20"/>
              <w:jc w:val="left"/>
            </w:pPr>
            <w:r>
              <w:rPr>
                <w:rStyle w:val="VerbatimChar"/>
                <w:sz w:val="18"/>
              </w:rPr>
              <w:t xml:space="preserve">SCHEMA_INVALID</w:t>
            </w:r>
          </w:p>
        </w:tc>
        <w:tc>
          <w:tcPr>
            <w:tcW w:w="2466" w:type="dxa"/>
          </w:tcPr>
          <w:p>
            <w:pPr>
              <w:pStyle w:val="Compact"/>
              <w:spacing w:after="20" w:before="20"/>
              <w:jc w:val="left"/>
            </w:pPr>
            <w:r>
              <w:rPr>
                <w:sz w:val="18"/>
              </w:rPr>
              <w:t xml:space="preserve">resolver, at start-up</w:t>
            </w:r>
          </w:p>
        </w:tc>
        <w:tc>
          <w:tcPr>
            <w:tcW w:w="4753" w:type="dxa"/>
          </w:tcPr>
          <w:p>
            <w:pPr>
              <w:pStyle w:val="Compact"/>
              <w:spacing w:after="20" w:before="20"/>
              <w:jc w:val="left"/>
            </w:pPr>
            <w:r>
              <w:rPr>
                <w:rStyle w:val="VerbatimChar"/>
                <w:sz w:val="18"/>
              </w:rPr>
              <w:t xml:space="preserve">@store(backend: "redis")</w:t>
            </w:r>
            <w:r>
              <w:rPr>
                <w:sz w:val="18"/>
              </w:rPr>
              <w:t xml:space="preserve"> </w:t>
            </w:r>
            <w:r>
              <w:rPr>
                <w:sz w:val="18"/>
              </w:rPr>
              <w:t xml:space="preserve">with no</w:t>
            </w:r>
            <w:r>
              <w:rPr>
                <w:sz w:val="18"/>
              </w:rPr>
              <w:t xml:space="preserve"> </w:t>
            </w:r>
            <w:r>
              <w:rPr>
                <w:rStyle w:val="VerbatimChar"/>
                <w:sz w:val="18"/>
              </w:rPr>
              <w:t xml:space="preserve">redis</w:t>
            </w:r>
            <w:r>
              <w:rPr>
                <w:sz w:val="18"/>
              </w:rPr>
              <w:t xml:space="preserve"> </w:t>
            </w:r>
            <w:r>
              <w:rPr>
                <w:sz w:val="18"/>
              </w:rPr>
              <w:t xml:space="preserve">in</w:t>
            </w:r>
            <w:r>
              <w:rPr>
                <w:sz w:val="18"/>
              </w:rPr>
              <w:t xml:space="preserve"> </w:t>
            </w:r>
            <w:r>
              <w:rPr>
                <w:rStyle w:val="VerbatimChar"/>
                <w:sz w:val="18"/>
              </w:rPr>
              <w:t xml:space="preserve">backends.toml</w:t>
            </w:r>
          </w:p>
        </w:tc>
      </w:tr>
      <w:tr>
        <w:tc>
          <w:tcPr>
            <w:tcW w:w="2572" w:type="dxa"/>
          </w:tcPr>
          <w:p>
            <w:pPr>
              <w:pStyle w:val="Compact"/>
              <w:spacing w:after="20" w:before="20"/>
              <w:jc w:val="left"/>
            </w:pPr>
            <w:r>
              <w:rPr>
                <w:rStyle w:val="VerbatimChar"/>
                <w:sz w:val="18"/>
              </w:rPr>
              <w:t xml:space="preserve">UNSUPPORTED_OPERATION</w:t>
            </w:r>
          </w:p>
        </w:tc>
        <w:tc>
          <w:tcPr>
            <w:tcW w:w="2466" w:type="dxa"/>
          </w:tcPr>
          <w:p>
            <w:pPr>
              <w:pStyle w:val="Compact"/>
              <w:spacing w:after="20" w:before="20"/>
              <w:jc w:val="left"/>
            </w:pPr>
            <w:r>
              <w:rPr>
                <w:sz w:val="18"/>
              </w:rPr>
              <w:t xml:space="preserve">validator</w:t>
            </w:r>
          </w:p>
        </w:tc>
        <w:tc>
          <w:tcPr>
            <w:tcW w:w="4753" w:type="dxa"/>
          </w:tcPr>
          <w:p>
            <w:pPr>
              <w:pStyle w:val="Compact"/>
              <w:spacing w:after="20" w:before="20"/>
              <w:jc w:val="left"/>
            </w:pPr>
            <w:r>
              <w:rPr>
                <w:sz w:val="18"/>
              </w:rPr>
              <w:t xml:space="preserve">inline fragment on a union, depth-3 traversal, mutation</w:t>
            </w:r>
          </w:p>
        </w:tc>
      </w:tr>
      <w:tr>
        <w:tc>
          <w:tcPr>
            <w:tcW w:w="2572" w:type="dxa"/>
          </w:tcPr>
          <w:p>
            <w:pPr>
              <w:pStyle w:val="Compact"/>
              <w:spacing w:after="20" w:before="20"/>
              <w:jc w:val="left"/>
            </w:pPr>
            <w:r>
              <w:rPr>
                <w:rStyle w:val="VerbatimChar"/>
                <w:sz w:val="18"/>
              </w:rPr>
              <w:t xml:space="preserve">BACKEND_UNAVAILABLE</w:t>
            </w:r>
          </w:p>
        </w:tc>
        <w:tc>
          <w:tcPr>
            <w:tcW w:w="2466" w:type="dxa"/>
          </w:tcPr>
          <w:p>
            <w:pPr>
              <w:pStyle w:val="Compact"/>
              <w:spacing w:after="20" w:before="20"/>
              <w:jc w:val="left"/>
            </w:pPr>
            <w:r>
              <w:rPr>
                <w:sz w:val="18"/>
              </w:rPr>
              <w:t xml:space="preserve">executor</w:t>
            </w:r>
          </w:p>
        </w:tc>
        <w:tc>
          <w:tcPr>
            <w:tcW w:w="4753" w:type="dxa"/>
          </w:tcPr>
          <w:p>
            <w:pPr>
              <w:pStyle w:val="Compact"/>
              <w:spacing w:after="20" w:before="20"/>
              <w:jc w:val="left"/>
            </w:pPr>
            <w:r>
              <w:rPr>
                <w:sz w:val="18"/>
              </w:rPr>
              <w:t xml:space="preserve">connection refused or timeout (5 s) from an adapter</w:t>
            </w:r>
          </w:p>
        </w:tc>
      </w:tr>
      <w:tr>
        <w:tc>
          <w:tcPr>
            <w:tcW w:w="2572" w:type="dxa"/>
          </w:tcPr>
          <w:p>
            <w:pPr>
              <w:pStyle w:val="Compact"/>
              <w:spacing w:after="20" w:before="20"/>
              <w:jc w:val="left"/>
            </w:pPr>
            <w:r>
              <w:rPr>
                <w:rStyle w:val="VerbatimChar"/>
                <w:sz w:val="18"/>
              </w:rPr>
              <w:t xml:space="preserve">INTERNAL</w:t>
            </w:r>
          </w:p>
        </w:tc>
        <w:tc>
          <w:tcPr>
            <w:tcW w:w="2466" w:type="dxa"/>
          </w:tcPr>
          <w:p>
            <w:pPr>
              <w:pStyle w:val="Compact"/>
              <w:spacing w:after="20" w:before="20"/>
              <w:jc w:val="left"/>
            </w:pPr>
            <w:r>
              <w:rPr>
                <w:sz w:val="18"/>
              </w:rPr>
              <w:t xml:space="preserve">anywhere</w:t>
            </w:r>
          </w:p>
        </w:tc>
        <w:tc>
          <w:tcPr>
            <w:tcW w:w="4753" w:type="dxa"/>
          </w:tcPr>
          <w:p>
            <w:pPr>
              <w:pStyle w:val="Compact"/>
              <w:spacing w:after="20" w:before="20"/>
              <w:jc w:val="left"/>
            </w:pPr>
            <w:r>
              <w:rPr>
                <w:sz w:val="18"/>
              </w:rPr>
              <w:t xml:space="preserve">planner invariant violated: always a bug, always a severity-1 issue</w:t>
            </w:r>
          </w:p>
        </w:tc>
      </w:tr>
    </w:tbl>
    <w:bookmarkEnd w:id="56"/>
    <w:bookmarkStart w:id="57" w:name="X6ecefe9b0cdefb0e795aa2cf533efbf945c087b"/>
    <w:p>
      <w:pPr>
        <w:pStyle w:val="Heading2"/>
      </w:pPr>
      <w:r>
        <w:t xml:space="preserve">7.3 Hasura DDN comparator contract (SC-6 and E-6)</w:t>
      </w:r>
    </w:p>
    <w:p>
      <w:pPr>
        <w:pStyle w:val="FirstParagraph"/>
      </w:pPr>
      <w:r>
        <w:t xml:space="preserve">Hasura’s local workflow scaffolds a supergraph, introspects each connector and writes Hasura Metadata Language (HML) files per model;</w:t>
      </w:r>
      <w:r>
        <w:t xml:space="preserve"> </w:t>
      </w:r>
      <w:r>
        <w:rPr>
          <w:rStyle w:val="VerbatimChar"/>
        </w:rPr>
        <w:t xml:space="preserve">ddn supergraph build local</w:t>
      </w:r>
      <w:r>
        <w:t xml:space="preserve"> </w:t>
      </w:r>
      <w:r>
        <w:t xml:space="preserve">produces the engine build. Two findings shape the plan. The local build uses Hasura’s hosted metadata build service, so a Cloud login and network access are needed even for a local-only run. The CLI’s</w:t>
      </w:r>
      <w:r>
        <w:t xml:space="preserve"> </w:t>
      </w:r>
      <w:r>
        <w:rPr>
          <w:rStyle w:val="VerbatimChar"/>
        </w:rPr>
        <w:t xml:space="preserve">docker-start</w:t>
      </w:r>
      <w:r>
        <w:t xml:space="preserve"> </w:t>
      </w:r>
      <w:r>
        <w:t xml:space="preserve">pulls the latest engine image, so the comparator must be run with an explicit pinned engine image to avoid mid-semester drift (R9). The SC-6 task counts every file the DDN workflow creates or edits, including generated files the developer must commit; the counting protocol (§10.4) decides in advance how generated-but-unedited files are counted.</w:t>
      </w:r>
    </w:p>
    <w:bookmarkEnd w:id="57"/>
    <w:bookmarkEnd w:id="58"/>
    <w:bookmarkStart w:id="63" w:name="environment-plan"/>
    <w:p>
      <w:pPr>
        <w:pStyle w:val="Heading1"/>
      </w:pPr>
      <w:r>
        <w:t xml:space="preserve">8. Environment plan</w:t>
      </w:r>
    </w:p>
    <w:p>
      <w:pPr>
        <w:pStyle w:val="FirstParagraph"/>
      </w:pPr>
      <w:r>
        <w:t xml:space="preserve">One laptop, one Compose project, one lock file: every run records the exact image digests, package hashes and hardware it ran on, and</w:t>
      </w:r>
      <w:r>
        <w:t xml:space="preserve"> </w:t>
      </w:r>
      <w:r>
        <w:rPr>
          <w:rStyle w:val="VerbatimChar"/>
        </w:rPr>
        <w:t xml:space="preserve">make reproduce</w:t>
      </w:r>
      <w:r>
        <w:t xml:space="preserve"> </w:t>
      </w:r>
      <w:r>
        <w:t xml:space="preserve">rebuilds the full result set from a clean checkout.</w:t>
      </w:r>
    </w:p>
    <w:bookmarkStart w:id="59" w:name="runtime-and-packages"/>
    <w:p>
      <w:pPr>
        <w:pStyle w:val="Heading2"/>
      </w:pPr>
      <w:r>
        <w:t xml:space="preserve">8.1 Runtime and packages</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611"/>
        <w:gridCol w:w="2833"/>
        <w:gridCol w:w="2210"/>
        <w:gridCol w:w="3136"/>
      </w:tblGrid>
      <w:tr>
        <w:trPr>
          <w:tblHeader w:val="true"/>
          <w:tblHeader w:val="true"/>
        </w:trPr>
        <w:tc>
          <w:tcPr>
            <w:tcW w:w="1611" w:type="dxa"/>
            <w:shd w:val="clear" w:color="auto" w:fill="DCE6F2"/>
          </w:tcPr>
          <w:p>
            <w:pPr>
              <w:pStyle w:val="Compact"/>
              <w:spacing w:after="20" w:before="20"/>
              <w:jc w:val="left"/>
            </w:pPr>
            <w:r>
              <w:rPr>
                <w:b/>
                <w:sz w:val="18"/>
              </w:rPr>
              <w:t xml:space="preserve">Layer</w:t>
            </w:r>
          </w:p>
        </w:tc>
        <w:tc>
          <w:tcPr>
            <w:tcW w:w="2833" w:type="dxa"/>
            <w:shd w:val="clear" w:color="auto" w:fill="DCE6F2"/>
          </w:tcPr>
          <w:p>
            <w:pPr>
              <w:pStyle w:val="Compact"/>
              <w:spacing w:after="20" w:before="20"/>
              <w:jc w:val="left"/>
            </w:pPr>
            <w:r>
              <w:rPr>
                <w:b/>
                <w:sz w:val="18"/>
              </w:rPr>
              <w:t xml:space="preserve">Choice</w:t>
            </w:r>
          </w:p>
        </w:tc>
        <w:tc>
          <w:tcPr>
            <w:tcW w:w="2210" w:type="dxa"/>
            <w:shd w:val="clear" w:color="auto" w:fill="DCE6F2"/>
          </w:tcPr>
          <w:p>
            <w:pPr>
              <w:pStyle w:val="Compact"/>
              <w:spacing w:after="20" w:before="20"/>
              <w:jc w:val="left"/>
            </w:pPr>
            <w:r>
              <w:rPr>
                <w:b/>
                <w:sz w:val="18"/>
              </w:rPr>
              <w:t xml:space="preserve">Pinning</w:t>
            </w:r>
          </w:p>
        </w:tc>
        <w:tc>
          <w:tcPr>
            <w:tcW w:w="3136" w:type="dxa"/>
            <w:shd w:val="clear" w:color="auto" w:fill="DCE6F2"/>
          </w:tcPr>
          <w:p>
            <w:pPr>
              <w:pStyle w:val="Compact"/>
              <w:spacing w:after="20" w:before="20"/>
              <w:jc w:val="left"/>
            </w:pPr>
            <w:r>
              <w:rPr>
                <w:b/>
                <w:sz w:val="18"/>
              </w:rPr>
              <w:t xml:space="preserve">Notes</w:t>
            </w:r>
          </w:p>
        </w:tc>
      </w:tr>
      <w:tr>
        <w:tc>
          <w:tcPr>
            <w:tcW w:w="1611" w:type="dxa"/>
          </w:tcPr>
          <w:p>
            <w:pPr>
              <w:pStyle w:val="Compact"/>
              <w:spacing w:after="20" w:before="20"/>
              <w:jc w:val="left"/>
            </w:pPr>
            <w:r>
              <w:rPr>
                <w:sz w:val="18"/>
              </w:rPr>
              <w:t xml:space="preserve">OS</w:t>
            </w:r>
          </w:p>
        </w:tc>
        <w:tc>
          <w:tcPr>
            <w:tcW w:w="2833" w:type="dxa"/>
          </w:tcPr>
          <w:p>
            <w:pPr>
              <w:pStyle w:val="Compact"/>
              <w:spacing w:after="20" w:before="20"/>
              <w:jc w:val="left"/>
            </w:pPr>
            <w:r>
              <w:rPr>
                <w:iCs/>
                <w:i/>
                <w:sz w:val="18"/>
              </w:rPr>
              <w:t xml:space="preserve">confirm</w:t>
            </w:r>
            <w:r>
              <w:rPr>
                <w:sz w:val="18"/>
              </w:rPr>
              <w:t xml:space="preserve">: Windows 11 + WSL2 Ubuntu 24.04, or native Linux</w:t>
            </w:r>
          </w:p>
        </w:tc>
        <w:tc>
          <w:tcPr>
            <w:tcW w:w="2210" w:type="dxa"/>
          </w:tcPr>
          <w:p>
            <w:pPr>
              <w:pStyle w:val="Compact"/>
              <w:spacing w:after="20" w:before="20"/>
              <w:jc w:val="left"/>
            </w:pPr>
            <w:r>
              <w:rPr>
                <w:sz w:val="18"/>
              </w:rPr>
              <w:t xml:space="preserve">kernel and distro in manifest</w:t>
            </w:r>
          </w:p>
        </w:tc>
        <w:tc>
          <w:tcPr>
            <w:tcW w:w="3136" w:type="dxa"/>
          </w:tcPr>
          <w:p>
            <w:pPr>
              <w:pStyle w:val="Compact"/>
              <w:spacing w:after="20" w:before="20"/>
              <w:jc w:val="left"/>
            </w:pPr>
            <w:r>
              <w:rPr>
                <w:sz w:val="18"/>
              </w:rPr>
              <w:t xml:space="preserve">On Windows, repo and data live in the WSL2 filesystem, never under</w:t>
            </w:r>
            <w:r>
              <w:rPr>
                <w:sz w:val="18"/>
              </w:rPr>
              <w:t xml:space="preserve"> </w:t>
            </w:r>
            <w:r>
              <w:rPr>
                <w:rStyle w:val="VerbatimChar"/>
                <w:sz w:val="18"/>
              </w:rPr>
              <w:t xml:space="preserve">/mnt/c</w:t>
            </w:r>
          </w:p>
        </w:tc>
      </w:tr>
      <w:tr>
        <w:tc>
          <w:tcPr>
            <w:tcW w:w="1611" w:type="dxa"/>
          </w:tcPr>
          <w:p>
            <w:pPr>
              <w:pStyle w:val="Compact"/>
              <w:spacing w:after="20" w:before="20"/>
              <w:jc w:val="left"/>
            </w:pPr>
            <w:r>
              <w:rPr>
                <w:sz w:val="18"/>
              </w:rPr>
              <w:t xml:space="preserve">Python</w:t>
            </w:r>
          </w:p>
        </w:tc>
        <w:tc>
          <w:tcPr>
            <w:tcW w:w="2833" w:type="dxa"/>
          </w:tcPr>
          <w:p>
            <w:pPr>
              <w:pStyle w:val="Compact"/>
              <w:spacing w:after="20" w:before="20"/>
              <w:jc w:val="left"/>
            </w:pPr>
            <w:r>
              <w:rPr>
                <w:sz w:val="18"/>
              </w:rPr>
              <w:t xml:space="preserve">3.12.x</w:t>
            </w:r>
          </w:p>
        </w:tc>
        <w:tc>
          <w:tcPr>
            <w:tcW w:w="2210" w:type="dxa"/>
          </w:tcPr>
          <w:p>
            <w:pPr>
              <w:pStyle w:val="Compact"/>
              <w:spacing w:after="20" w:before="20"/>
              <w:jc w:val="left"/>
            </w:pPr>
            <w:r>
              <w:rPr>
                <w:rStyle w:val="VerbatimChar"/>
                <w:sz w:val="18"/>
              </w:rPr>
              <w:t xml:space="preserve">.python-version</w:t>
            </w:r>
          </w:p>
        </w:tc>
        <w:tc>
          <w:tcPr>
            <w:tcW w:w="3136" w:type="dxa"/>
          </w:tcPr>
          <w:p>
            <w:pPr>
              <w:pStyle w:val="Compact"/>
              <w:spacing w:after="20" w:before="20"/>
              <w:jc w:val="left"/>
            </w:pPr>
            <w:r>
              <w:rPr>
                <w:sz w:val="18"/>
              </w:rPr>
              <w:t xml:space="preserve">One venv managed by</w:t>
            </w:r>
            <w:r>
              <w:rPr>
                <w:sz w:val="18"/>
              </w:rPr>
              <w:t xml:space="preserve"> </w:t>
            </w:r>
            <w:r>
              <w:rPr>
                <w:rStyle w:val="VerbatimChar"/>
                <w:sz w:val="18"/>
              </w:rPr>
              <w:t xml:space="preserve">uv</w:t>
            </w:r>
          </w:p>
        </w:tc>
      </w:tr>
      <w:tr>
        <w:tc>
          <w:tcPr>
            <w:tcW w:w="1611" w:type="dxa"/>
          </w:tcPr>
          <w:p>
            <w:pPr>
              <w:pStyle w:val="Compact"/>
              <w:spacing w:after="20" w:before="20"/>
              <w:jc w:val="left"/>
            </w:pPr>
            <w:r>
              <w:rPr>
                <w:sz w:val="18"/>
              </w:rPr>
              <w:t xml:space="preserve">Package lock</w:t>
            </w:r>
          </w:p>
        </w:tc>
        <w:tc>
          <w:tcPr>
            <w:tcW w:w="2833" w:type="dxa"/>
          </w:tcPr>
          <w:p>
            <w:pPr>
              <w:pStyle w:val="Compact"/>
              <w:spacing w:after="20" w:before="20"/>
              <w:jc w:val="left"/>
            </w:pPr>
            <w:r>
              <w:rPr>
                <w:rStyle w:val="VerbatimChar"/>
                <w:sz w:val="18"/>
              </w:rPr>
              <w:t xml:space="preserve">uv lock</w:t>
            </w:r>
          </w:p>
        </w:tc>
        <w:tc>
          <w:tcPr>
            <w:tcW w:w="2210" w:type="dxa"/>
          </w:tcPr>
          <w:p>
            <w:pPr>
              <w:pStyle w:val="Compact"/>
              <w:spacing w:after="20" w:before="20"/>
              <w:jc w:val="left"/>
            </w:pPr>
            <w:r>
              <w:rPr>
                <w:rStyle w:val="VerbatimChar"/>
                <w:sz w:val="18"/>
              </w:rPr>
              <w:t xml:space="preserve">uv.lock</w:t>
            </w:r>
            <w:r>
              <w:rPr>
                <w:sz w:val="18"/>
              </w:rPr>
              <w:t xml:space="preserve"> </w:t>
            </w:r>
            <w:r>
              <w:rPr>
                <w:sz w:val="18"/>
              </w:rPr>
              <w:t xml:space="preserve">with hashes, committed</w:t>
            </w:r>
          </w:p>
        </w:tc>
        <w:tc>
          <w:tcPr>
            <w:tcW w:w="3136" w:type="dxa"/>
          </w:tcPr>
          <w:p>
            <w:pPr>
              <w:pStyle w:val="Compact"/>
              <w:spacing w:after="20" w:before="20"/>
              <w:jc w:val="left"/>
            </w:pPr>
            <w:r>
              <w:rPr>
                <w:sz w:val="18"/>
              </w:rPr>
              <w:t xml:space="preserve">Satisfies HS1</w:t>
            </w:r>
            <w:r>
              <w:rPr>
                <w:sz w:val="18"/>
              </w:rPr>
              <w:t xml:space="preserve"> </w:t>
            </w:r>
            <w:r>
              <w:rPr>
                <w:sz w:val="18"/>
              </w:rPr>
              <w:t xml:space="preserve">“</w:t>
            </w:r>
            <w:r>
              <w:rPr>
                <w:sz w:val="18"/>
              </w:rPr>
              <w:t xml:space="preserve">hash-locked</w:t>
            </w:r>
            <w:r>
              <w:rPr>
                <w:sz w:val="18"/>
              </w:rPr>
              <w:t xml:space="preserve">”</w:t>
            </w:r>
          </w:p>
        </w:tc>
      </w:tr>
      <w:tr>
        <w:tc>
          <w:tcPr>
            <w:tcW w:w="1611" w:type="dxa"/>
          </w:tcPr>
          <w:p>
            <w:pPr>
              <w:pStyle w:val="Compact"/>
              <w:spacing w:after="20" w:before="20"/>
              <w:jc w:val="left"/>
            </w:pPr>
            <w:r>
              <w:rPr>
                <w:sz w:val="18"/>
              </w:rPr>
              <w:t xml:space="preserve">Parser</w:t>
            </w:r>
          </w:p>
        </w:tc>
        <w:tc>
          <w:tcPr>
            <w:tcW w:w="2833" w:type="dxa"/>
          </w:tcPr>
          <w:p>
            <w:pPr>
              <w:pStyle w:val="Compact"/>
              <w:spacing w:after="20" w:before="20"/>
              <w:jc w:val="left"/>
            </w:pPr>
            <w:r>
              <w:rPr>
                <w:sz w:val="18"/>
              </w:rPr>
              <w:t xml:space="preserve">graphql-core 3.2.x</w:t>
            </w:r>
          </w:p>
        </w:tc>
        <w:tc>
          <w:tcPr>
            <w:tcW w:w="2210" w:type="dxa"/>
          </w:tcPr>
          <w:p>
            <w:pPr>
              <w:pStyle w:val="Compact"/>
              <w:spacing w:after="20" w:before="20"/>
              <w:jc w:val="left"/>
            </w:pPr>
            <w:r>
              <w:rPr>
                <w:sz w:val="18"/>
              </w:rPr>
              <w:t xml:space="preserve">lock</w:t>
            </w:r>
          </w:p>
        </w:tc>
        <w:tc>
          <w:tcPr>
            <w:tcW w:w="3136" w:type="dxa"/>
          </w:tcPr>
          <w:p>
            <w:pPr>
              <w:pStyle w:val="Compact"/>
              <w:spacing w:after="20" w:before="20"/>
              <w:jc w:val="left"/>
            </w:pPr>
            <w:r>
              <w:rPr>
                <w:sz w:val="18"/>
              </w:rPr>
              <w:t xml:space="preserve">ADR-0002</w:t>
            </w:r>
          </w:p>
        </w:tc>
      </w:tr>
      <w:tr>
        <w:tc>
          <w:tcPr>
            <w:tcW w:w="1611" w:type="dxa"/>
          </w:tcPr>
          <w:p>
            <w:pPr>
              <w:pStyle w:val="Compact"/>
              <w:spacing w:after="20" w:before="20"/>
              <w:jc w:val="left"/>
            </w:pPr>
            <w:r>
              <w:rPr>
                <w:sz w:val="18"/>
              </w:rPr>
              <w:t xml:space="preserve">Drivers</w:t>
            </w:r>
          </w:p>
        </w:tc>
        <w:tc>
          <w:tcPr>
            <w:tcW w:w="2833" w:type="dxa"/>
          </w:tcPr>
          <w:p>
            <w:pPr>
              <w:pStyle w:val="Compact"/>
              <w:spacing w:after="20" w:before="20"/>
              <w:jc w:val="left"/>
            </w:pPr>
            <w:r>
              <w:rPr>
                <w:sz w:val="18"/>
              </w:rPr>
              <w:t xml:space="preserve">psycopg 3.x (binary), pymongo 4.x</w:t>
            </w:r>
          </w:p>
        </w:tc>
        <w:tc>
          <w:tcPr>
            <w:tcW w:w="2210" w:type="dxa"/>
          </w:tcPr>
          <w:p>
            <w:pPr>
              <w:pStyle w:val="Compact"/>
              <w:spacing w:after="20" w:before="20"/>
              <w:jc w:val="left"/>
            </w:pPr>
            <w:r>
              <w:rPr>
                <w:sz w:val="18"/>
              </w:rPr>
              <w:t xml:space="preserve">lock</w:t>
            </w:r>
          </w:p>
        </w:tc>
        <w:tc>
          <w:tcPr>
            <w:tcW w:w="3136" w:type="dxa"/>
          </w:tcPr>
          <w:p>
            <w:pPr>
              <w:pStyle w:val="Compact"/>
              <w:spacing w:after="20" w:before="20"/>
              <w:jc w:val="left"/>
            </w:pPr>
            <w:r>
              <w:rPr>
                <w:sz w:val="18"/>
              </w:rPr>
              <w:t xml:space="preserve">LGPL psycopg is used, not linked into distributed code</w:t>
            </w:r>
          </w:p>
        </w:tc>
      </w:tr>
      <w:tr>
        <w:tc>
          <w:tcPr>
            <w:tcW w:w="1611" w:type="dxa"/>
          </w:tcPr>
          <w:p>
            <w:pPr>
              <w:pStyle w:val="Compact"/>
              <w:spacing w:after="20" w:before="20"/>
              <w:jc w:val="left"/>
            </w:pPr>
            <w:r>
              <w:rPr>
                <w:sz w:val="18"/>
              </w:rPr>
              <w:t xml:space="preserve">Data + analysis</w:t>
            </w:r>
          </w:p>
        </w:tc>
        <w:tc>
          <w:tcPr>
            <w:tcW w:w="2833" w:type="dxa"/>
          </w:tcPr>
          <w:p>
            <w:pPr>
              <w:pStyle w:val="Compact"/>
              <w:spacing w:after="20" w:before="20"/>
              <w:jc w:val="left"/>
            </w:pPr>
            <w:r>
              <w:rPr>
                <w:sz w:val="18"/>
              </w:rPr>
              <w:t xml:space="preserve">numpy 2.x, pandas, matplotlib</w:t>
            </w:r>
          </w:p>
        </w:tc>
        <w:tc>
          <w:tcPr>
            <w:tcW w:w="2210" w:type="dxa"/>
          </w:tcPr>
          <w:p>
            <w:pPr>
              <w:pStyle w:val="Compact"/>
              <w:spacing w:after="20" w:before="20"/>
              <w:jc w:val="left"/>
            </w:pPr>
            <w:r>
              <w:rPr>
                <w:sz w:val="18"/>
              </w:rPr>
              <w:t xml:space="preserve">lock</w:t>
            </w:r>
          </w:p>
        </w:tc>
        <w:tc>
          <w:tcPr>
            <w:tcW w:w="3136" w:type="dxa"/>
          </w:tcPr>
          <w:p>
            <w:pPr>
              <w:pStyle w:val="Compact"/>
              <w:spacing w:after="20" w:before="20"/>
              <w:jc w:val="left"/>
            </w:pPr>
            <w:r>
              <w:rPr>
                <w:sz w:val="18"/>
              </w:rPr>
              <w:t xml:space="preserve">Generator and figures</w:t>
            </w:r>
          </w:p>
        </w:tc>
      </w:tr>
      <w:tr>
        <w:tc>
          <w:tcPr>
            <w:tcW w:w="1611" w:type="dxa"/>
          </w:tcPr>
          <w:p>
            <w:pPr>
              <w:pStyle w:val="Compact"/>
              <w:spacing w:after="20" w:before="20"/>
              <w:jc w:val="left"/>
            </w:pPr>
            <w:r>
              <w:rPr>
                <w:sz w:val="18"/>
              </w:rPr>
              <w:t xml:space="preserve">Tests</w:t>
            </w:r>
          </w:p>
        </w:tc>
        <w:tc>
          <w:tcPr>
            <w:tcW w:w="2833" w:type="dxa"/>
          </w:tcPr>
          <w:p>
            <w:pPr>
              <w:pStyle w:val="Compact"/>
              <w:spacing w:after="20" w:before="20"/>
              <w:jc w:val="left"/>
            </w:pPr>
            <w:r>
              <w:rPr>
                <w:sz w:val="18"/>
              </w:rPr>
              <w:t xml:space="preserve">pytest 8.x, pytest-cov, hypothesis</w:t>
            </w:r>
          </w:p>
        </w:tc>
        <w:tc>
          <w:tcPr>
            <w:tcW w:w="2210" w:type="dxa"/>
          </w:tcPr>
          <w:p>
            <w:pPr>
              <w:pStyle w:val="Compact"/>
              <w:spacing w:after="20" w:before="20"/>
              <w:jc w:val="left"/>
            </w:pPr>
            <w:r>
              <w:rPr>
                <w:sz w:val="18"/>
              </w:rPr>
              <w:t xml:space="preserve">lock</w:t>
            </w:r>
          </w:p>
        </w:tc>
        <w:tc>
          <w:tcPr>
            <w:tcW w:w="3136" w:type="dxa"/>
          </w:tcPr>
          <w:p>
            <w:pPr>
              <w:pStyle w:val="Compact"/>
              <w:spacing w:after="20" w:before="20"/>
              <w:jc w:val="left"/>
            </w:pPr>
            <w:r>
              <w:rPr>
                <w:sz w:val="18"/>
              </w:rPr>
              <w:t xml:space="preserve">Hypothesis drives T-P1</w:t>
            </w:r>
          </w:p>
        </w:tc>
      </w:tr>
      <w:tr>
        <w:tc>
          <w:tcPr>
            <w:tcW w:w="1611" w:type="dxa"/>
          </w:tcPr>
          <w:p>
            <w:pPr>
              <w:pStyle w:val="Compact"/>
              <w:spacing w:after="20" w:before="20"/>
              <w:jc w:val="left"/>
            </w:pPr>
            <w:r>
              <w:rPr>
                <w:sz w:val="18"/>
              </w:rPr>
              <w:t xml:space="preserve">Optional HTTP</w:t>
            </w:r>
          </w:p>
        </w:tc>
        <w:tc>
          <w:tcPr>
            <w:tcW w:w="2833" w:type="dxa"/>
          </w:tcPr>
          <w:p>
            <w:pPr>
              <w:pStyle w:val="Compact"/>
              <w:spacing w:after="20" w:before="20"/>
              <w:jc w:val="left"/>
            </w:pPr>
            <w:r>
              <w:rPr>
                <w:sz w:val="18"/>
              </w:rPr>
              <w:t xml:space="preserve">starlette + uvicorn</w:t>
            </w:r>
          </w:p>
        </w:tc>
        <w:tc>
          <w:tcPr>
            <w:tcW w:w="2210" w:type="dxa"/>
          </w:tcPr>
          <w:p>
            <w:pPr>
              <w:pStyle w:val="Compact"/>
              <w:spacing w:after="20" w:before="20"/>
              <w:jc w:val="left"/>
            </w:pPr>
            <w:r>
              <w:rPr>
                <w:sz w:val="18"/>
              </w:rPr>
              <w:t xml:space="preserve">lock, extras group</w:t>
            </w:r>
          </w:p>
        </w:tc>
        <w:tc>
          <w:tcPr>
            <w:tcW w:w="3136" w:type="dxa"/>
          </w:tcPr>
          <w:p>
            <w:pPr>
              <w:pStyle w:val="Compact"/>
              <w:spacing w:after="20" w:before="20"/>
              <w:jc w:val="left"/>
            </w:pPr>
            <w:r>
              <w:rPr>
                <w:sz w:val="18"/>
              </w:rPr>
              <w:t xml:space="preserve">Only for E-6</w:t>
            </w:r>
          </w:p>
        </w:tc>
      </w:tr>
      <w:tr>
        <w:tc>
          <w:tcPr>
            <w:tcW w:w="1611" w:type="dxa"/>
          </w:tcPr>
          <w:p>
            <w:pPr>
              <w:pStyle w:val="Compact"/>
              <w:spacing w:after="20" w:before="20"/>
              <w:jc w:val="left"/>
            </w:pPr>
            <w:r>
              <w:rPr>
                <w:sz w:val="18"/>
              </w:rPr>
              <w:t xml:space="preserve">Containers</w:t>
            </w:r>
          </w:p>
        </w:tc>
        <w:tc>
          <w:tcPr>
            <w:tcW w:w="2833" w:type="dxa"/>
          </w:tcPr>
          <w:p>
            <w:pPr>
              <w:pStyle w:val="Compact"/>
              <w:spacing w:after="20" w:before="20"/>
              <w:jc w:val="left"/>
            </w:pPr>
            <w:r>
              <w:rPr>
                <w:sz w:val="18"/>
              </w:rPr>
              <w:t xml:space="preserve">Docker Engine + Compose v2.20+</w:t>
            </w:r>
          </w:p>
        </w:tc>
        <w:tc>
          <w:tcPr>
            <w:tcW w:w="2210" w:type="dxa"/>
          </w:tcPr>
          <w:p>
            <w:pPr>
              <w:pStyle w:val="Compact"/>
              <w:spacing w:after="20" w:before="20"/>
              <w:jc w:val="left"/>
            </w:pPr>
            <w:r>
              <w:rPr>
                <w:sz w:val="18"/>
              </w:rPr>
              <w:t xml:space="preserve">versions in manifest</w:t>
            </w:r>
          </w:p>
        </w:tc>
        <w:tc>
          <w:tcPr>
            <w:tcW w:w="3136" w:type="dxa"/>
          </w:tcPr>
          <w:p>
            <w:pPr>
              <w:pStyle w:val="Compact"/>
              <w:spacing w:after="20" w:before="20"/>
              <w:jc w:val="left"/>
            </w:pPr>
            <w:r>
              <w:rPr>
                <w:sz w:val="18"/>
              </w:rPr>
              <w:t xml:space="preserve">Compose ≥ 2.20 is also Hasura’s local requirement</w:t>
            </w:r>
          </w:p>
        </w:tc>
      </w:tr>
      <w:tr>
        <w:tc>
          <w:tcPr>
            <w:tcW w:w="1611" w:type="dxa"/>
          </w:tcPr>
          <w:p>
            <w:pPr>
              <w:pStyle w:val="Compact"/>
              <w:spacing w:after="20" w:before="20"/>
              <w:jc w:val="left"/>
            </w:pPr>
            <w:r>
              <w:rPr>
                <w:sz w:val="18"/>
              </w:rPr>
              <w:t xml:space="preserve">DB images</w:t>
            </w:r>
          </w:p>
        </w:tc>
        <w:tc>
          <w:tcPr>
            <w:tcW w:w="2833" w:type="dxa"/>
          </w:tcPr>
          <w:p>
            <w:pPr>
              <w:pStyle w:val="Compact"/>
              <w:spacing w:after="20" w:before="20"/>
              <w:jc w:val="left"/>
            </w:pPr>
            <w:r>
              <w:rPr>
                <w:rStyle w:val="VerbatimChar"/>
                <w:sz w:val="18"/>
              </w:rPr>
              <w:t xml:space="preserve">postgres:16</w:t>
            </w:r>
            <w:r>
              <w:rPr>
                <w:sz w:val="18"/>
              </w:rPr>
              <w:t xml:space="preserve">,</w:t>
            </w:r>
            <w:r>
              <w:rPr>
                <w:sz w:val="18"/>
              </w:rPr>
              <w:t xml:space="preserve"> </w:t>
            </w:r>
            <w:r>
              <w:rPr>
                <w:rStyle w:val="VerbatimChar"/>
                <w:sz w:val="18"/>
              </w:rPr>
              <w:t xml:space="preserve">mongo:7.0</w:t>
            </w:r>
          </w:p>
        </w:tc>
        <w:tc>
          <w:tcPr>
            <w:tcW w:w="2210" w:type="dxa"/>
          </w:tcPr>
          <w:p>
            <w:pPr>
              <w:pStyle w:val="Compact"/>
              <w:spacing w:after="20" w:before="20"/>
              <w:jc w:val="left"/>
            </w:pPr>
            <w:r>
              <w:rPr>
                <w:sz w:val="18"/>
              </w:rPr>
              <w:t xml:space="preserve">by</w:t>
            </w:r>
            <w:r>
              <w:rPr>
                <w:sz w:val="18"/>
              </w:rPr>
              <w:t xml:space="preserve"> </w:t>
            </w:r>
            <w:r>
              <w:rPr>
                <w:rStyle w:val="VerbatimChar"/>
                <w:sz w:val="18"/>
              </w:rPr>
              <w:t xml:space="preserve">@sha256</w:t>
            </w:r>
            <w:r>
              <w:rPr>
                <w:sz w:val="18"/>
              </w:rPr>
              <w:t xml:space="preserve"> </w:t>
            </w:r>
            <w:r>
              <w:rPr>
                <w:sz w:val="18"/>
              </w:rPr>
              <w:t xml:space="preserve">digest in</w:t>
            </w:r>
            <w:r>
              <w:rPr>
                <w:sz w:val="18"/>
              </w:rPr>
              <w:t xml:space="preserve"> </w:t>
            </w:r>
            <w:r>
              <w:rPr>
                <w:rStyle w:val="VerbatimChar"/>
                <w:sz w:val="18"/>
              </w:rPr>
              <w:t xml:space="preserve">compose.yaml</w:t>
            </w:r>
          </w:p>
        </w:tc>
        <w:tc>
          <w:tcPr>
            <w:tcW w:w="3136" w:type="dxa"/>
          </w:tcPr>
          <w:p>
            <w:pPr>
              <w:pStyle w:val="Compact"/>
              <w:spacing w:after="20" w:before="20"/>
              <w:jc w:val="left"/>
            </w:pPr>
            <w:r>
              <w:rPr>
                <w:sz w:val="18"/>
              </w:rPr>
              <w:t xml:space="preserve">Digests recorded at Week 5 lock</w:t>
            </w:r>
          </w:p>
        </w:tc>
      </w:tr>
      <w:tr>
        <w:tc>
          <w:tcPr>
            <w:tcW w:w="1611" w:type="dxa"/>
          </w:tcPr>
          <w:p>
            <w:pPr>
              <w:pStyle w:val="Compact"/>
              <w:spacing w:after="20" w:before="20"/>
              <w:jc w:val="left"/>
            </w:pPr>
            <w:r>
              <w:rPr>
                <w:sz w:val="18"/>
              </w:rPr>
              <w:t xml:space="preserve">Comparator images</w:t>
            </w:r>
          </w:p>
        </w:tc>
        <w:tc>
          <w:tcPr>
            <w:tcW w:w="2833" w:type="dxa"/>
          </w:tcPr>
          <w:p>
            <w:pPr>
              <w:pStyle w:val="Compact"/>
              <w:spacing w:after="20" w:before="20"/>
              <w:jc w:val="left"/>
            </w:pPr>
            <w:r>
              <w:rPr>
                <w:sz w:val="18"/>
              </w:rPr>
              <w:t xml:space="preserve">Hasura v3 engine, ndc-postgres, ndc-mongodb</w:t>
            </w:r>
          </w:p>
        </w:tc>
        <w:tc>
          <w:tcPr>
            <w:tcW w:w="2210" w:type="dxa"/>
          </w:tcPr>
          <w:p>
            <w:pPr>
              <w:pStyle w:val="Compact"/>
              <w:spacing w:after="20" w:before="20"/>
              <w:jc w:val="left"/>
            </w:pPr>
            <w:r>
              <w:rPr>
                <w:sz w:val="18"/>
              </w:rPr>
              <w:t xml:space="preserve">by digest after spike S-1</w:t>
            </w:r>
          </w:p>
        </w:tc>
        <w:tc>
          <w:tcPr>
            <w:tcW w:w="3136" w:type="dxa"/>
          </w:tcPr>
          <w:p>
            <w:pPr>
              <w:pStyle w:val="Compact"/>
              <w:spacing w:after="20" w:before="20"/>
              <w:jc w:val="left"/>
            </w:pPr>
            <w:r>
              <w:rPr>
                <w:sz w:val="18"/>
              </w:rPr>
              <w:t xml:space="preserve">Never</w:t>
            </w:r>
            <w:r>
              <w:rPr>
                <w:sz w:val="18"/>
              </w:rPr>
              <w:t xml:space="preserve"> </w:t>
            </w:r>
            <w:r>
              <w:rPr>
                <w:rStyle w:val="VerbatimChar"/>
                <w:sz w:val="18"/>
              </w:rPr>
              <w:t xml:space="preserve">latest</w:t>
            </w:r>
          </w:p>
        </w:tc>
      </w:tr>
    </w:tbl>
    <w:bookmarkEnd w:id="59"/>
    <w:bookmarkStart w:id="60" w:name="hardware-assumptions"/>
    <w:p>
      <w:pPr>
        <w:pStyle w:val="Heading2"/>
      </w:pPr>
      <w:r>
        <w:t xml:space="preserve">8.2 Hardware assumptions</w:t>
      </w:r>
    </w:p>
    <w:p>
      <w:pPr>
        <w:pStyle w:val="FirstParagraph"/>
      </w:pPr>
      <w:r>
        <w:t xml:space="preserve">Intel Core i5 (core count:</w:t>
      </w:r>
      <w:r>
        <w:t xml:space="preserve"> </w:t>
      </w:r>
      <w:r>
        <w:rPr>
          <w:iCs/>
          <w:i/>
        </w:rPr>
        <w:t xml:space="preserve">confirm</w:t>
      </w:r>
      <w:r>
        <w:t xml:space="preserve">, at least 4 assumed), 16 GB RAM, NVIDIA RTX GPU (unused). Memory budget during timing runs: three DB containers at 3 GB each (9 GB), engine and runner up to 2 GB, OS the rest; Hasura services stopped. If the i5 has fewer than 4 cores, container limits drop to 1 CPU each and the change is recorded as an ADR.</w:t>
      </w:r>
    </w:p>
    <w:bookmarkEnd w:id="60"/>
    <w:bookmarkStart w:id="61" w:name="resource-parity-between-arms"/>
    <w:p>
      <w:pPr>
        <w:pStyle w:val="Heading2"/>
      </w:pPr>
      <w:r>
        <w:t xml:space="preserve">8.3 Resource parity between arms</w:t>
      </w:r>
    </w:p>
    <w:p>
      <w:pPr>
        <w:pStyle w:val="FirstParagraph"/>
      </w:pPr>
      <w:r>
        <w:t xml:space="preserve">The federated arm touches two database containers and the consolidated arm one, so giving each container its own cores would hand federation twice the hardware. The design pins all three database containers to the same two cores (</w:t>
      </w:r>
      <w:r>
        <w:rPr>
          <w:rStyle w:val="VerbatimChar"/>
        </w:rPr>
        <w:t xml:space="preserve">cpuset: "2,3"</w:t>
      </w:r>
      <w:r>
        <w:t xml:space="preserve">) with identical limits (</w:t>
      </w:r>
      <w:r>
        <w:rPr>
          <w:rStyle w:val="VerbatimChar"/>
        </w:rPr>
        <w:t xml:space="preserve">cpus: 2</w:t>
      </w:r>
      <w:r>
        <w:t xml:space="preserve">,</w:t>
      </w:r>
      <w:r>
        <w:t xml:space="preserve"> </w:t>
      </w:r>
      <w:r>
        <w:rPr>
          <w:rStyle w:val="VerbatimChar"/>
        </w:rPr>
        <w:t xml:space="preserve">mem_limit: 3g</w:t>
      </w:r>
      <w:r>
        <w:t xml:space="preserve">), and the engine and runner to cores 0–1. Only one arm runs at a time, and a bind join runs its two backends one after the other, so neither arm gains parallelism. Cache sizes are matched: PostgreSQL</w:t>
      </w:r>
      <w:r>
        <w:t xml:space="preserve"> </w:t>
      </w:r>
      <w:r>
        <w:rPr>
          <w:rStyle w:val="VerbatimChar"/>
        </w:rPr>
        <w:t xml:space="preserve">shared_buffers = 768MB</w:t>
      </w:r>
      <w:r>
        <w:t xml:space="preserve"> </w:t>
      </w:r>
      <w:r>
        <w:t xml:space="preserve">on both PG containers, MongoDB</w:t>
      </w:r>
      <w:r>
        <w:t xml:space="preserve"> </w:t>
      </w:r>
      <w:r>
        <w:rPr>
          <w:rStyle w:val="VerbatimChar"/>
        </w:rPr>
        <w:t xml:space="preserve">wiredTigerCacheSizeGB = 0.75</w:t>
      </w:r>
      <w:r>
        <w:t xml:space="preserve">.</w:t>
      </w:r>
    </w:p>
    <w:bookmarkEnd w:id="61"/>
    <w:bookmarkStart w:id="62" w:name="reproducibility-mechanics"/>
    <w:p>
      <w:pPr>
        <w:pStyle w:val="Heading2"/>
      </w:pPr>
      <w:r>
        <w:t xml:space="preserve">8.4 Reproducibility mechanics</w:t>
      </w:r>
    </w:p>
    <w:p>
      <w:pPr>
        <w:numPr>
          <w:ilvl w:val="0"/>
          <w:numId w:val="1004"/>
        </w:numPr>
        <w:pStyle w:val="Compact"/>
      </w:pPr>
      <w:r>
        <w:rPr>
          <w:rStyle w:val="VerbatimChar"/>
        </w:rPr>
        <w:t xml:space="preserve">make reproduce</w:t>
      </w:r>
      <w:r>
        <w:t xml:space="preserve"> </w:t>
      </w:r>
      <w:r>
        <w:t xml:space="preserve">=</w:t>
      </w:r>
      <w:r>
        <w:t xml:space="preserve"> </w:t>
      </w:r>
      <w:r>
        <w:rPr>
          <w:rStyle w:val="VerbatimChar"/>
        </w:rPr>
        <w:t xml:space="preserve">compose up</w:t>
      </w:r>
      <w:r>
        <w:t xml:space="preserve"> </w:t>
      </w:r>
      <w:r>
        <w:t xml:space="preserve">(pinned) →</w:t>
      </w:r>
      <w:r>
        <w:t xml:space="preserve"> </w:t>
      </w:r>
      <w:r>
        <w:rPr>
          <w:rStyle w:val="VerbatimChar"/>
        </w:rPr>
        <w:t xml:space="preserve">make data SEED=…</w:t>
      </w:r>
      <w:r>
        <w:t xml:space="preserve"> </w:t>
      </w:r>
      <w:r>
        <w:t xml:space="preserve">→ load both placements → equivalence check → oracle → bench → analysis → figures.</w:t>
      </w:r>
    </w:p>
    <w:p>
      <w:pPr>
        <w:numPr>
          <w:ilvl w:val="0"/>
          <w:numId w:val="1004"/>
        </w:numPr>
        <w:pStyle w:val="Compact"/>
      </w:pPr>
      <w:r>
        <w:t xml:space="preserve">Each run writes</w:t>
      </w:r>
      <w:r>
        <w:t xml:space="preserve"> </w:t>
      </w:r>
      <w:r>
        <w:rPr>
          <w:rStyle w:val="VerbatimChar"/>
        </w:rPr>
        <w:t xml:space="preserve">bench/runs/&lt;utc-timestamp&gt;-&lt;git-sha&gt;/</w:t>
      </w:r>
      <w:r>
        <w:t xml:space="preserve"> </w:t>
      </w:r>
      <w:r>
        <w:t xml:space="preserve">with</w:t>
      </w:r>
      <w:r>
        <w:t xml:space="preserve"> </w:t>
      </w:r>
      <w:r>
        <w:rPr>
          <w:rStyle w:val="VerbatimChar"/>
        </w:rPr>
        <w:t xml:space="preserve">manifest.json</w:t>
      </w:r>
      <w:r>
        <w:t xml:space="preserve">: git SHA and dirty flag,</w:t>
      </w:r>
      <w:r>
        <w:t xml:space="preserve"> </w:t>
      </w:r>
      <w:r>
        <w:rPr>
          <w:rStyle w:val="VerbatimChar"/>
        </w:rPr>
        <w:t xml:space="preserve">uv.lock</w:t>
      </w:r>
      <w:r>
        <w:t xml:space="preserve"> </w:t>
      </w:r>
      <w:r>
        <w:t xml:space="preserve">hash, image digests, config SHA-256, seeds, hardware fingerprint (CPU model, cores, RAM, OS, kernel, Docker version), equivalence checksums, and</w:t>
      </w:r>
      <w:r>
        <w:t xml:space="preserve"> </w:t>
      </w:r>
      <w:r>
        <w:rPr>
          <w:rStyle w:val="VerbatimChar"/>
        </w:rPr>
        <w:t xml:space="preserve">timings.csv</w:t>
      </w:r>
      <w:r>
        <w:t xml:space="preserve"> </w:t>
      </w:r>
      <w:r>
        <w:t xml:space="preserve">+</w:t>
      </w:r>
      <w:r>
        <w:t xml:space="preserve"> </w:t>
      </w:r>
      <w:r>
        <w:rPr>
          <w:rStyle w:val="VerbatimChar"/>
        </w:rPr>
        <w:t xml:space="preserve">bytes.csv</w:t>
      </w:r>
      <w:r>
        <w:t xml:space="preserve"> </w:t>
      </w:r>
      <w:r>
        <w:t xml:space="preserve">raw.</w:t>
      </w:r>
    </w:p>
    <w:p>
      <w:pPr>
        <w:numPr>
          <w:ilvl w:val="0"/>
          <w:numId w:val="1004"/>
        </w:numPr>
        <w:pStyle w:val="Compact"/>
      </w:pPr>
      <w:r>
        <w:t xml:space="preserve">A number appears in the report only if a script regenerates it from a committed run directory (SC-9).</w:t>
      </w:r>
    </w:p>
    <w:p>
      <w:pPr>
        <w:numPr>
          <w:ilvl w:val="0"/>
          <w:numId w:val="1004"/>
        </w:numPr>
        <w:pStyle w:val="Compact"/>
      </w:pPr>
      <w:r>
        <w:t xml:space="preserve">CI (GitHub Actions, Ubuntu runner, PG and Mongo service containers) runs unit, conformance and oracle tests at S = 0.01 on every push. Timing runs never happen in CI.</w:t>
      </w:r>
    </w:p>
    <w:bookmarkEnd w:id="62"/>
    <w:bookmarkEnd w:id="63"/>
    <w:bookmarkStart w:id="64" w:name="build-order-week-by-week"/>
    <w:p>
      <w:pPr>
        <w:pStyle w:val="Heading1"/>
      </w:pPr>
      <w:r>
        <w:t xml:space="preserve">9. Build order, week by week</w:t>
      </w:r>
    </w:p>
    <w:p>
      <w:pPr>
        <w:pStyle w:val="FirstParagraph"/>
      </w:pPr>
      <w:r>
        <w:t xml:space="preserve">The order is fixed by three gates — data equivalence before execution, oracle green before any timing, counting protocol committed before either system is measured — and it slips HS1’s M3 by two weeks to absorb the new data generator.</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353"/>
        <w:gridCol w:w="3362"/>
        <w:gridCol w:w="2938"/>
        <w:gridCol w:w="2137"/>
      </w:tblGrid>
      <w:tr>
        <w:trPr>
          <w:tblHeader w:val="true"/>
          <w:tblHeader w:val="true"/>
        </w:trPr>
        <w:tc>
          <w:tcPr>
            <w:tcW w:w="1353" w:type="dxa"/>
            <w:shd w:val="clear" w:color="auto" w:fill="DCE6F2"/>
          </w:tcPr>
          <w:p>
            <w:pPr>
              <w:pStyle w:val="Compact"/>
              <w:spacing w:after="20" w:before="20"/>
              <w:jc w:val="left"/>
            </w:pPr>
            <w:r>
              <w:rPr>
                <w:b/>
                <w:sz w:val="18"/>
              </w:rPr>
              <w:t xml:space="preserve">Week (dates)</w:t>
            </w:r>
          </w:p>
        </w:tc>
        <w:tc>
          <w:tcPr>
            <w:tcW w:w="3362" w:type="dxa"/>
            <w:shd w:val="clear" w:color="auto" w:fill="DCE6F2"/>
          </w:tcPr>
          <w:p>
            <w:pPr>
              <w:pStyle w:val="Compact"/>
              <w:spacing w:after="20" w:before="20"/>
              <w:jc w:val="left"/>
            </w:pPr>
            <w:r>
              <w:rPr>
                <w:b/>
                <w:sz w:val="18"/>
              </w:rPr>
              <w:t xml:space="preserve">Build</w:t>
            </w:r>
          </w:p>
        </w:tc>
        <w:tc>
          <w:tcPr>
            <w:tcW w:w="2938" w:type="dxa"/>
            <w:shd w:val="clear" w:color="auto" w:fill="DCE6F2"/>
          </w:tcPr>
          <w:p>
            <w:pPr>
              <w:pStyle w:val="Compact"/>
              <w:spacing w:after="20" w:before="20"/>
              <w:jc w:val="left"/>
            </w:pPr>
            <w:r>
              <w:rPr>
                <w:b/>
                <w:sz w:val="18"/>
              </w:rPr>
              <w:t xml:space="preserve">Exit evidence</w:t>
            </w:r>
          </w:p>
        </w:tc>
        <w:tc>
          <w:tcPr>
            <w:tcW w:w="2137" w:type="dxa"/>
            <w:shd w:val="clear" w:color="auto" w:fill="DCE6F2"/>
          </w:tcPr>
          <w:p>
            <w:pPr>
              <w:pStyle w:val="Compact"/>
              <w:spacing w:after="20" w:before="20"/>
              <w:jc w:val="left"/>
            </w:pPr>
            <w:r>
              <w:rPr>
                <w:b/>
                <w:sz w:val="18"/>
              </w:rPr>
              <w:t xml:space="preserve">Gate</w:t>
            </w:r>
          </w:p>
        </w:tc>
      </w:tr>
      <w:tr>
        <w:tc>
          <w:tcPr>
            <w:tcW w:w="1353" w:type="dxa"/>
          </w:tcPr>
          <w:p>
            <w:pPr>
              <w:pStyle w:val="Compact"/>
              <w:spacing w:after="20" w:before="20"/>
              <w:jc w:val="left"/>
            </w:pPr>
            <w:r>
              <w:rPr>
                <w:sz w:val="18"/>
              </w:rPr>
              <w:t xml:space="preserve">4 (9/21–9/27)</w:t>
            </w:r>
          </w:p>
        </w:tc>
        <w:tc>
          <w:tcPr>
            <w:tcW w:w="3362" w:type="dxa"/>
          </w:tcPr>
          <w:p>
            <w:pPr>
              <w:pStyle w:val="Compact"/>
              <w:spacing w:after="20" w:before="20"/>
              <w:jc w:val="left"/>
            </w:pPr>
            <w:r>
              <w:rPr>
                <w:sz w:val="18"/>
              </w:rPr>
              <w:t xml:space="preserve">This package; ADR-0002, 0003, 0005, 0006 drafted</w:t>
            </w:r>
          </w:p>
        </w:tc>
        <w:tc>
          <w:tcPr>
            <w:tcW w:w="2938" w:type="dxa"/>
          </w:tcPr>
          <w:p>
            <w:pPr>
              <w:pStyle w:val="Compact"/>
              <w:spacing w:after="20" w:before="20"/>
              <w:jc w:val="left"/>
            </w:pPr>
            <w:r>
              <w:rPr>
                <w:sz w:val="18"/>
              </w:rPr>
              <w:t xml:space="preserve">HS2 submitted</w:t>
            </w:r>
          </w:p>
        </w:tc>
        <w:tc>
          <w:tcPr>
            <w:tcW w:w="2137" w:type="dxa"/>
          </w:tcPr>
          <w:p>
            <w:pPr>
              <w:pStyle w:val="Compact"/>
              <w:spacing w:after="20" w:before="20"/>
              <w:jc w:val="left"/>
            </w:pPr>
            <w:r>
              <w:rPr>
                <w:bCs/>
                <w:b/>
                <w:sz w:val="18"/>
              </w:rPr>
              <w:t xml:space="preserve">HS2</w:t>
            </w:r>
          </w:p>
        </w:tc>
      </w:tr>
      <w:tr>
        <w:tc>
          <w:tcPr>
            <w:tcW w:w="1353" w:type="dxa"/>
          </w:tcPr>
          <w:p>
            <w:pPr>
              <w:pStyle w:val="Compact"/>
              <w:spacing w:after="20" w:before="20"/>
              <w:jc w:val="left"/>
            </w:pPr>
            <w:r>
              <w:rPr>
                <w:sz w:val="18"/>
              </w:rPr>
              <w:t xml:space="preserve">5 (9/28–10/4)</w:t>
            </w:r>
          </w:p>
        </w:tc>
        <w:tc>
          <w:tcPr>
            <w:tcW w:w="3362" w:type="dxa"/>
          </w:tcPr>
          <w:p>
            <w:pPr>
              <w:pStyle w:val="Compact"/>
              <w:spacing w:after="20" w:before="20"/>
              <w:jc w:val="left"/>
            </w:pPr>
            <w:r>
              <w:rPr>
                <w:sz w:val="18"/>
              </w:rPr>
              <w:t xml:space="preserve">Close M1 leftovers:</w:t>
            </w:r>
            <w:r>
              <w:rPr>
                <w:sz w:val="18"/>
              </w:rPr>
              <w:t xml:space="preserve"> </w:t>
            </w:r>
            <w:r>
              <w:rPr>
                <w:rStyle w:val="VerbatimChar"/>
                <w:sz w:val="18"/>
              </w:rPr>
              <w:t xml:space="preserve">uv.lock</w:t>
            </w:r>
            <w:r>
              <w:rPr>
                <w:sz w:val="18"/>
              </w:rPr>
              <w:t xml:space="preserve">, digests in</w:t>
            </w:r>
            <w:r>
              <w:rPr>
                <w:sz w:val="18"/>
              </w:rPr>
              <w:t xml:space="preserve"> </w:t>
            </w:r>
            <w:r>
              <w:rPr>
                <w:rStyle w:val="VerbatimChar"/>
                <w:sz w:val="18"/>
              </w:rPr>
              <w:t xml:space="preserve">compose.yaml</w:t>
            </w:r>
            <w:r>
              <w:rPr>
                <w:sz w:val="18"/>
              </w:rPr>
              <w:t xml:space="preserve">; generator v1; resolver + validator; spike S-1 (Hasura local build, one day)</w:t>
            </w:r>
          </w:p>
        </w:tc>
        <w:tc>
          <w:tcPr>
            <w:tcW w:w="2938" w:type="dxa"/>
          </w:tcPr>
          <w:p>
            <w:pPr>
              <w:pStyle w:val="Compact"/>
              <w:spacing w:after="20" w:before="20"/>
              <w:jc w:val="left"/>
            </w:pPr>
            <w:r>
              <w:rPr>
                <w:rStyle w:val="VerbatimChar"/>
                <w:sz w:val="18"/>
              </w:rPr>
              <w:t xml:space="preserve">make data</w:t>
            </w:r>
            <w:r>
              <w:rPr>
                <w:sz w:val="18"/>
              </w:rPr>
              <w:t xml:space="preserve"> </w:t>
            </w:r>
            <w:r>
              <w:rPr>
                <w:sz w:val="18"/>
              </w:rPr>
              <w:t xml:space="preserve">deterministic (T-D1); resolver tests green; S-1 note with pinned digests or GraphQL Mesh fallback triggered</w:t>
            </w:r>
          </w:p>
        </w:tc>
        <w:tc>
          <w:tcPr>
            <w:tcW w:w="2137" w:type="dxa"/>
          </w:tcPr>
          <w:p>
            <w:pPr>
              <w:pStyle w:val="Compact"/>
              <w:spacing w:after="20" w:before="20"/>
              <w:jc w:val="left"/>
            </w:pPr>
            <w:r>
              <w:rPr>
                <w:sz w:val="18"/>
              </w:rPr>
              <w:t xml:space="preserve">M1, M2</w:t>
            </w:r>
          </w:p>
        </w:tc>
      </w:tr>
      <w:tr>
        <w:tc>
          <w:tcPr>
            <w:tcW w:w="1353" w:type="dxa"/>
          </w:tcPr>
          <w:p>
            <w:pPr>
              <w:pStyle w:val="Compact"/>
              <w:spacing w:after="20" w:before="20"/>
              <w:jc w:val="left"/>
            </w:pPr>
            <w:r>
              <w:rPr>
                <w:sz w:val="18"/>
              </w:rPr>
              <w:t xml:space="preserve">6 (10/5–10/11)</w:t>
            </w:r>
          </w:p>
        </w:tc>
        <w:tc>
          <w:tcPr>
            <w:tcW w:w="3362" w:type="dxa"/>
          </w:tcPr>
          <w:p>
            <w:pPr>
              <w:pStyle w:val="Compact"/>
              <w:spacing w:after="20" w:before="20"/>
              <w:jc w:val="left"/>
            </w:pPr>
            <w:r>
              <w:rPr>
                <w:sz w:val="18"/>
              </w:rPr>
              <w:t xml:space="preserve">Loader for both placements; equivalence check; PG and Mongo adapters for single-store MVA ops</w:t>
            </w:r>
          </w:p>
        </w:tc>
        <w:tc>
          <w:tcPr>
            <w:tcW w:w="2938" w:type="dxa"/>
          </w:tcPr>
          <w:p>
            <w:pPr>
              <w:pStyle w:val="Compact"/>
              <w:spacing w:after="20" w:before="20"/>
              <w:jc w:val="left"/>
            </w:pPr>
            <w:r>
              <w:rPr>
                <w:sz w:val="18"/>
              </w:rPr>
              <w:t xml:space="preserve">Equivalence checksums match (T-D2); single-store conformance green</w:t>
            </w:r>
          </w:p>
        </w:tc>
        <w:tc>
          <w:tcPr>
            <w:tcW w:w="2137" w:type="dxa"/>
          </w:tcPr>
          <w:p>
            <w:pPr>
              <w:pStyle w:val="Compact"/>
              <w:spacing w:after="20" w:before="20"/>
              <w:jc w:val="left"/>
            </w:pPr>
            <w:r>
              <w:rPr>
                <w:sz w:val="18"/>
              </w:rPr>
              <w:t xml:space="preserve">M3 (moved from W4)</w:t>
            </w:r>
          </w:p>
        </w:tc>
      </w:tr>
      <w:tr>
        <w:tc>
          <w:tcPr>
            <w:tcW w:w="1353" w:type="dxa"/>
          </w:tcPr>
          <w:p>
            <w:pPr>
              <w:pStyle w:val="Compact"/>
              <w:spacing w:after="20" w:before="20"/>
              <w:jc w:val="left"/>
            </w:pPr>
            <w:r>
              <w:rPr>
                <w:sz w:val="18"/>
              </w:rPr>
              <w:t xml:space="preserve">7 (10/12–10/18)</w:t>
            </w:r>
          </w:p>
        </w:tc>
        <w:tc>
          <w:tcPr>
            <w:tcW w:w="3362" w:type="dxa"/>
          </w:tcPr>
          <w:p>
            <w:pPr>
              <w:pStyle w:val="Compact"/>
              <w:spacing w:after="20" w:before="20"/>
              <w:jc w:val="left"/>
            </w:pPr>
            <w:r>
              <w:rPr>
                <w:sz w:val="18"/>
              </w:rPr>
              <w:t xml:space="preserve">Planner; R1, R1b, R4; bind hash join; two-store traversals</w:t>
            </w:r>
          </w:p>
        </w:tc>
        <w:tc>
          <w:tcPr>
            <w:tcW w:w="2938" w:type="dxa"/>
          </w:tcPr>
          <w:p>
            <w:pPr>
              <w:pStyle w:val="Compact"/>
              <w:spacing w:after="20" w:before="20"/>
              <w:jc w:val="left"/>
            </w:pPr>
            <w:r>
              <w:rPr>
                <w:sz w:val="18"/>
              </w:rPr>
              <w:t xml:space="preserve">Two-store query returns results</w:t>
            </w:r>
          </w:p>
        </w:tc>
        <w:tc>
          <w:tcPr>
            <w:tcW w:w="2137" w:type="dxa"/>
          </w:tcPr>
          <w:p>
            <w:pPr>
              <w:pStyle w:val="Compact"/>
              <w:spacing w:after="20" w:before="20"/>
              <w:jc w:val="left"/>
            </w:pPr>
            <w:r>
              <w:rPr>
                <w:sz w:val="18"/>
              </w:rPr>
              <w:t xml:space="preserve">M4</w:t>
            </w:r>
          </w:p>
        </w:tc>
      </w:tr>
      <w:tr>
        <w:tc>
          <w:tcPr>
            <w:tcW w:w="1353" w:type="dxa"/>
          </w:tcPr>
          <w:p>
            <w:pPr>
              <w:pStyle w:val="Compact"/>
              <w:spacing w:after="20" w:before="20"/>
              <w:jc w:val="left"/>
            </w:pPr>
            <w:r>
              <w:rPr>
                <w:sz w:val="18"/>
              </w:rPr>
              <w:t xml:space="preserve">8 (10/19–10/25)</w:t>
            </w:r>
          </w:p>
        </w:tc>
        <w:tc>
          <w:tcPr>
            <w:tcW w:w="3362" w:type="dxa"/>
          </w:tcPr>
          <w:p>
            <w:pPr>
              <w:pStyle w:val="Compact"/>
              <w:spacing w:after="20" w:before="20"/>
              <w:jc w:val="left"/>
            </w:pPr>
            <w:r>
              <w:rPr>
                <w:sz w:val="18"/>
              </w:rPr>
              <w:t xml:space="preserve">Oracle: reference SQL for every workload query, order-insensitive comparison, CI job, Hypothesis property tests</w:t>
            </w:r>
          </w:p>
        </w:tc>
        <w:tc>
          <w:tcPr>
            <w:tcW w:w="2938" w:type="dxa"/>
          </w:tcPr>
          <w:p>
            <w:pPr>
              <w:pStyle w:val="Compact"/>
              <w:spacing w:after="20" w:before="20"/>
              <w:jc w:val="left"/>
            </w:pPr>
            <w:r>
              <w:rPr>
                <w:sz w:val="18"/>
              </w:rPr>
              <w:t xml:space="preserve">100% agreement at S = 0.01 and S = 1</w:t>
            </w:r>
          </w:p>
        </w:tc>
        <w:tc>
          <w:tcPr>
            <w:tcW w:w="2137" w:type="dxa"/>
          </w:tcPr>
          <w:p>
            <w:pPr>
              <w:pStyle w:val="Compact"/>
              <w:spacing w:after="20" w:before="20"/>
              <w:jc w:val="left"/>
            </w:pPr>
            <w:r>
              <w:rPr>
                <w:bCs/>
                <w:b/>
                <w:sz w:val="18"/>
              </w:rPr>
              <w:t xml:space="preserve">M5 hard gate</w:t>
            </w:r>
            <w:r>
              <w:rPr>
                <w:sz w:val="18"/>
              </w:rPr>
              <w:t xml:space="preserve">;</w:t>
            </w:r>
            <w:r>
              <w:rPr>
                <w:sz w:val="18"/>
              </w:rPr>
              <w:t xml:space="preserve"> </w:t>
            </w:r>
            <w:r>
              <w:rPr>
                <w:bCs/>
                <w:b/>
                <w:sz w:val="18"/>
              </w:rPr>
              <w:t xml:space="preserve">HS3 midpoint</w:t>
            </w:r>
            <w:r>
              <w:rPr>
                <w:sz w:val="18"/>
              </w:rPr>
              <w:t xml:space="preserve">: baseline run, thresholds revised once and frozen</w:t>
            </w:r>
          </w:p>
        </w:tc>
      </w:tr>
      <w:tr>
        <w:tc>
          <w:tcPr>
            <w:tcW w:w="1353" w:type="dxa"/>
          </w:tcPr>
          <w:p>
            <w:pPr>
              <w:pStyle w:val="Compact"/>
              <w:spacing w:after="20" w:before="20"/>
              <w:jc w:val="left"/>
            </w:pPr>
            <w:r>
              <w:rPr>
                <w:sz w:val="18"/>
              </w:rPr>
              <w:t xml:space="preserve">9 (10/26–11/1)</w:t>
            </w:r>
          </w:p>
        </w:tc>
        <w:tc>
          <w:tcPr>
            <w:tcW w:w="3362" w:type="dxa"/>
          </w:tcPr>
          <w:p>
            <w:pPr>
              <w:pStyle w:val="Compact"/>
              <w:spacing w:after="20" w:before="20"/>
              <w:jc w:val="left"/>
            </w:pPr>
            <w:r>
              <w:rPr>
                <w:sz w:val="18"/>
              </w:rPr>
              <w:t xml:space="preserve">Byte instrumentation both ways; arm A4 switch; commit SC-6 counting protocol</w:t>
            </w:r>
          </w:p>
        </w:tc>
        <w:tc>
          <w:tcPr>
            <w:tcW w:w="2938" w:type="dxa"/>
          </w:tcPr>
          <w:p>
            <w:pPr>
              <w:pStyle w:val="Compact"/>
              <w:spacing w:after="20" w:before="20"/>
              <w:jc w:val="left"/>
            </w:pPr>
            <w:r>
              <w:rPr>
                <w:sz w:val="18"/>
              </w:rPr>
              <w:t xml:space="preserve">A1 vs A4 byte table at one point;</w:t>
            </w:r>
            <w:r>
              <w:rPr>
                <w:sz w:val="18"/>
              </w:rPr>
              <w:t xml:space="preserve"> </w:t>
            </w:r>
            <w:r>
              <w:rPr>
                <w:rStyle w:val="VerbatimChar"/>
                <w:sz w:val="18"/>
              </w:rPr>
              <w:t xml:space="preserve">PROTOCOL.md</w:t>
            </w:r>
            <w:r>
              <w:rPr>
                <w:sz w:val="18"/>
              </w:rPr>
              <w:t xml:space="preserve"> </w:t>
            </w:r>
            <w:r>
              <w:rPr>
                <w:sz w:val="18"/>
              </w:rPr>
              <w:t xml:space="preserve">committed with hash in issue tracker</w:t>
            </w:r>
          </w:p>
        </w:tc>
        <w:tc>
          <w:tcPr>
            <w:tcW w:w="2137" w:type="dxa"/>
          </w:tcPr>
          <w:p>
            <w:pPr>
              <w:pStyle w:val="Compact"/>
              <w:spacing w:after="20" w:before="20"/>
              <w:jc w:val="left"/>
            </w:pPr>
            <w:r>
              <w:rPr>
                <w:sz w:val="18"/>
              </w:rPr>
              <w:t xml:space="preserve">M6, M7</w:t>
            </w:r>
          </w:p>
        </w:tc>
      </w:tr>
      <w:tr>
        <w:tc>
          <w:tcPr>
            <w:tcW w:w="1353" w:type="dxa"/>
          </w:tcPr>
          <w:p>
            <w:pPr>
              <w:pStyle w:val="Compact"/>
              <w:spacing w:after="20" w:before="20"/>
              <w:jc w:val="left"/>
            </w:pPr>
            <w:r>
              <w:rPr>
                <w:sz w:val="18"/>
              </w:rPr>
              <w:t xml:space="preserve">10 (11/2–11/8)</w:t>
            </w:r>
          </w:p>
        </w:tc>
        <w:tc>
          <w:tcPr>
            <w:tcW w:w="3362" w:type="dxa"/>
          </w:tcPr>
          <w:p>
            <w:pPr>
              <w:pStyle w:val="Compact"/>
              <w:spacing w:after="20" w:before="20"/>
              <w:jc w:val="left"/>
            </w:pPr>
            <w:r>
              <w:rPr>
                <w:sz w:val="18"/>
              </w:rPr>
              <w:t xml:space="preserve">Bench runner: four arms, randomized order, manifests; E-1 projection pushdown if on track</w:t>
            </w:r>
          </w:p>
        </w:tc>
        <w:tc>
          <w:tcPr>
            <w:tcW w:w="2938" w:type="dxa"/>
          </w:tcPr>
          <w:p>
            <w:pPr>
              <w:pStyle w:val="Compact"/>
              <w:spacing w:after="20" w:before="20"/>
              <w:jc w:val="left"/>
            </w:pPr>
            <w:r>
              <w:rPr>
                <w:sz w:val="18"/>
              </w:rPr>
              <w:t xml:space="preserve">Unattended run of all arms at 3 sweep points</w:t>
            </w:r>
          </w:p>
        </w:tc>
        <w:tc>
          <w:tcPr>
            <w:tcW w:w="2137" w:type="dxa"/>
          </w:tcPr>
          <w:p>
            <w:pPr>
              <w:pStyle w:val="Compact"/>
              <w:spacing w:after="20" w:before="20"/>
              <w:jc w:val="left"/>
            </w:pPr>
            <w:r>
              <w:rPr>
                <w:bCs/>
                <w:b/>
                <w:sz w:val="18"/>
              </w:rPr>
              <w:t xml:space="preserve">HS4</w:t>
            </w:r>
          </w:p>
        </w:tc>
      </w:tr>
      <w:tr>
        <w:tc>
          <w:tcPr>
            <w:tcW w:w="1353" w:type="dxa"/>
          </w:tcPr>
          <w:p>
            <w:pPr>
              <w:pStyle w:val="Compact"/>
              <w:spacing w:after="20" w:before="20"/>
              <w:jc w:val="left"/>
            </w:pPr>
            <w:r>
              <w:rPr>
                <w:sz w:val="18"/>
              </w:rPr>
              <w:t xml:space="preserve">11 (11/9–11/15)</w:t>
            </w:r>
          </w:p>
        </w:tc>
        <w:tc>
          <w:tcPr>
            <w:tcW w:w="3362" w:type="dxa"/>
          </w:tcPr>
          <w:p>
            <w:pPr>
              <w:pStyle w:val="Compact"/>
              <w:spacing w:after="20" w:before="20"/>
              <w:jc w:val="left"/>
            </w:pPr>
            <w:r>
              <w:rPr>
                <w:sz w:val="18"/>
              </w:rPr>
              <w:t xml:space="preserve">Buffer. SC-6 measurement on both systems. E-2 or E-3 only if nothing slipped</w:t>
            </w:r>
          </w:p>
        </w:tc>
        <w:tc>
          <w:tcPr>
            <w:tcW w:w="2938" w:type="dxa"/>
          </w:tcPr>
          <w:p>
            <w:pPr>
              <w:pStyle w:val="Compact"/>
              <w:spacing w:after="20" w:before="20"/>
              <w:jc w:val="left"/>
            </w:pPr>
            <w:r>
              <w:rPr>
                <w:sz w:val="18"/>
              </w:rPr>
              <w:t xml:space="preserve">Complexity counts committed raw</w:t>
            </w:r>
          </w:p>
        </w:tc>
        <w:tc>
          <w:tcPr>
            <w:tcW w:w="2137" w:type="dxa"/>
          </w:tcPr>
          <w:p>
            <w:pPr>
              <w:pStyle w:val="Compact"/>
              <w:spacing w:after="20" w:before="20"/>
              <w:jc w:val="left"/>
            </w:pPr>
            <w:r>
              <w:rPr>
                <w:sz w:val="18"/>
              </w:rPr>
              <w:t xml:space="preserve">—</w:t>
            </w:r>
          </w:p>
        </w:tc>
      </w:tr>
      <w:tr>
        <w:tc>
          <w:tcPr>
            <w:tcW w:w="1353" w:type="dxa"/>
          </w:tcPr>
          <w:p>
            <w:pPr>
              <w:pStyle w:val="Compact"/>
              <w:spacing w:after="20" w:before="20"/>
              <w:jc w:val="left"/>
            </w:pPr>
            <w:r>
              <w:rPr>
                <w:sz w:val="18"/>
              </w:rPr>
              <w:t xml:space="preserve">12 (11/16–11/22)</w:t>
            </w:r>
          </w:p>
        </w:tc>
        <w:tc>
          <w:tcPr>
            <w:tcW w:w="3362" w:type="dxa"/>
          </w:tcPr>
          <w:p>
            <w:pPr>
              <w:pStyle w:val="Compact"/>
              <w:spacing w:after="20" w:before="20"/>
              <w:jc w:val="left"/>
            </w:pPr>
            <w:r>
              <w:rPr>
                <w:sz w:val="18"/>
              </w:rPr>
              <w:t xml:space="preserve">Full nine-point sweep; refinement points if a bracket is found</w:t>
            </w:r>
          </w:p>
        </w:tc>
        <w:tc>
          <w:tcPr>
            <w:tcW w:w="2938" w:type="dxa"/>
          </w:tcPr>
          <w:p>
            <w:pPr>
              <w:pStyle w:val="Compact"/>
              <w:spacing w:after="20" w:before="20"/>
              <w:jc w:val="left"/>
            </w:pPr>
            <w:r>
              <w:rPr>
                <w:sz w:val="18"/>
              </w:rPr>
              <w:t xml:space="preserve">Raw runs committed</w:t>
            </w:r>
          </w:p>
        </w:tc>
        <w:tc>
          <w:tcPr>
            <w:tcW w:w="2137" w:type="dxa"/>
          </w:tcPr>
          <w:p>
            <w:pPr>
              <w:pStyle w:val="Compact"/>
              <w:spacing w:after="20" w:before="20"/>
              <w:jc w:val="left"/>
            </w:pPr>
            <w:r>
              <w:rPr>
                <w:sz w:val="18"/>
              </w:rPr>
              <w:t xml:space="preserve">M8,</w:t>
            </w:r>
            <w:r>
              <w:rPr>
                <w:sz w:val="18"/>
              </w:rPr>
              <w:t xml:space="preserve"> </w:t>
            </w:r>
            <w:r>
              <w:rPr>
                <w:bCs/>
                <w:b/>
                <w:sz w:val="18"/>
              </w:rPr>
              <w:t xml:space="preserve">HS5</w:t>
            </w:r>
            <w:r>
              <w:rPr>
                <w:sz w:val="18"/>
              </w:rPr>
              <w:t xml:space="preserve"> </w:t>
            </w:r>
            <w:r>
              <w:rPr>
                <w:sz w:val="18"/>
              </w:rPr>
              <w:t xml:space="preserve">analysis draft</w:t>
            </w:r>
          </w:p>
        </w:tc>
      </w:tr>
      <w:tr>
        <w:tc>
          <w:tcPr>
            <w:tcW w:w="1353" w:type="dxa"/>
          </w:tcPr>
          <w:p>
            <w:pPr>
              <w:pStyle w:val="Compact"/>
              <w:spacing w:after="20" w:before="20"/>
              <w:jc w:val="left"/>
            </w:pPr>
            <w:r>
              <w:rPr>
                <w:sz w:val="18"/>
              </w:rPr>
              <w:t xml:space="preserve">13 (11/23–11/29)</w:t>
            </w:r>
          </w:p>
        </w:tc>
        <w:tc>
          <w:tcPr>
            <w:tcW w:w="3362" w:type="dxa"/>
          </w:tcPr>
          <w:p>
            <w:pPr>
              <w:pStyle w:val="Compact"/>
              <w:spacing w:after="20" w:before="20"/>
              <w:jc w:val="left"/>
            </w:pPr>
            <w:r>
              <w:rPr>
                <w:sz w:val="18"/>
              </w:rPr>
              <w:t xml:space="preserve">Buffer. Clean-checkout rehearsal on a second machine; report writing</w:t>
            </w:r>
          </w:p>
        </w:tc>
        <w:tc>
          <w:tcPr>
            <w:tcW w:w="2938" w:type="dxa"/>
          </w:tcPr>
          <w:p>
            <w:pPr>
              <w:pStyle w:val="Compact"/>
              <w:spacing w:after="20" w:before="20"/>
              <w:jc w:val="left"/>
            </w:pPr>
            <w:r>
              <w:rPr>
                <w:sz w:val="18"/>
              </w:rPr>
              <w:t xml:space="preserve">Rehearsal log reproduces headline numbers</w:t>
            </w:r>
          </w:p>
        </w:tc>
        <w:tc>
          <w:tcPr>
            <w:tcW w:w="2137" w:type="dxa"/>
          </w:tcPr>
          <w:p>
            <w:pPr>
              <w:pStyle w:val="Compact"/>
              <w:spacing w:after="20" w:before="20"/>
              <w:jc w:val="left"/>
            </w:pPr>
            <w:r>
              <w:rPr>
                <w:sz w:val="18"/>
              </w:rPr>
              <w:t xml:space="preserve">M9</w:t>
            </w:r>
          </w:p>
        </w:tc>
      </w:tr>
      <w:tr>
        <w:tc>
          <w:tcPr>
            <w:tcW w:w="1353" w:type="dxa"/>
          </w:tcPr>
          <w:p>
            <w:pPr>
              <w:pStyle w:val="Compact"/>
              <w:spacing w:after="20" w:before="20"/>
              <w:jc w:val="left"/>
            </w:pPr>
            <w:r>
              <w:rPr>
                <w:sz w:val="18"/>
              </w:rPr>
              <w:t xml:space="preserve">14 (11/30–12/6)</w:t>
            </w:r>
          </w:p>
        </w:tc>
        <w:tc>
          <w:tcPr>
            <w:tcW w:w="3362" w:type="dxa"/>
          </w:tcPr>
          <w:p>
            <w:pPr>
              <w:pStyle w:val="Compact"/>
              <w:spacing w:after="20" w:before="20"/>
              <w:jc w:val="left"/>
            </w:pPr>
            <w:r>
              <w:rPr>
                <w:sz w:val="18"/>
              </w:rPr>
              <w:t xml:space="preserve">Code freeze; defect triage; report complete</w:t>
            </w:r>
          </w:p>
        </w:tc>
        <w:tc>
          <w:tcPr>
            <w:tcW w:w="2938" w:type="dxa"/>
          </w:tcPr>
          <w:p>
            <w:pPr>
              <w:pStyle w:val="Compact"/>
              <w:spacing w:after="20" w:before="20"/>
              <w:jc w:val="left"/>
            </w:pPr>
            <w:r>
              <w:rPr>
                <w:sz w:val="18"/>
              </w:rPr>
              <w:t xml:space="preserve">Zero open severity-1</w:t>
            </w:r>
          </w:p>
        </w:tc>
        <w:tc>
          <w:tcPr>
            <w:tcW w:w="2137" w:type="dxa"/>
          </w:tcPr>
          <w:p>
            <w:pPr>
              <w:pStyle w:val="Compact"/>
              <w:spacing w:after="20" w:before="20"/>
              <w:jc w:val="left"/>
            </w:pPr>
            <w:r>
              <w:rPr>
                <w:sz w:val="18"/>
              </w:rPr>
              <w:t xml:space="preserve">M10,</w:t>
            </w:r>
            <w:r>
              <w:rPr>
                <w:sz w:val="18"/>
              </w:rPr>
              <w:t xml:space="preserve"> </w:t>
            </w:r>
            <w:r>
              <w:rPr>
                <w:bCs/>
                <w:b/>
                <w:sz w:val="18"/>
              </w:rPr>
              <w:t xml:space="preserve">HS6</w:t>
            </w:r>
          </w:p>
        </w:tc>
      </w:tr>
      <w:tr>
        <w:tc>
          <w:tcPr>
            <w:tcW w:w="1353" w:type="dxa"/>
          </w:tcPr>
          <w:p>
            <w:pPr>
              <w:pStyle w:val="Compact"/>
              <w:spacing w:after="20" w:before="20"/>
              <w:jc w:val="left"/>
            </w:pPr>
            <w:r>
              <w:rPr>
                <w:sz w:val="18"/>
              </w:rPr>
              <w:t xml:space="preserve">15 (12/7–12/13)</w:t>
            </w:r>
          </w:p>
        </w:tc>
        <w:tc>
          <w:tcPr>
            <w:tcW w:w="3362" w:type="dxa"/>
          </w:tcPr>
          <w:p>
            <w:pPr>
              <w:pStyle w:val="Compact"/>
              <w:spacing w:after="20" w:before="20"/>
              <w:jc w:val="left"/>
            </w:pPr>
            <w:r>
              <w:rPr>
                <w:sz w:val="18"/>
              </w:rPr>
              <w:t xml:space="preserve">Recorded walkthrough; final package</w:t>
            </w:r>
          </w:p>
        </w:tc>
        <w:tc>
          <w:tcPr>
            <w:tcW w:w="2938" w:type="dxa"/>
          </w:tcPr>
          <w:p>
            <w:pPr>
              <w:pStyle w:val="Compact"/>
              <w:spacing w:after="20" w:before="20"/>
              <w:jc w:val="left"/>
            </w:pPr>
            <w:r>
              <w:rPr>
                <w:sz w:val="18"/>
              </w:rPr>
              <w:t xml:space="preserve">Submission</w:t>
            </w:r>
          </w:p>
        </w:tc>
        <w:tc>
          <w:tcPr>
            <w:tcW w:w="2137" w:type="dxa"/>
          </w:tcPr>
          <w:p>
            <w:pPr>
              <w:pStyle w:val="Compact"/>
              <w:spacing w:after="20" w:before="20"/>
              <w:jc w:val="left"/>
            </w:pPr>
            <w:r>
              <w:rPr>
                <w:bCs/>
                <w:b/>
                <w:sz w:val="18"/>
              </w:rPr>
              <w:t xml:space="preserve">HS7</w:t>
            </w:r>
          </w:p>
        </w:tc>
      </w:tr>
    </w:tbl>
    <w:p>
      <w:pPr>
        <w:pStyle w:val="BodyText"/>
      </w:pPr>
      <w:r>
        <w:t xml:space="preserve">Cut order when a week slips is HS1 §5.2 unchanged: projection pushdown first, the usability study last. Floor work is never cut to protect an extension.</w:t>
      </w:r>
    </w:p>
    <w:bookmarkEnd w:id="64"/>
    <w:bookmarkStart w:id="69" w:name="test-and-evaluation-plan"/>
    <w:p>
      <w:pPr>
        <w:pStyle w:val="Heading1"/>
      </w:pPr>
      <w:r>
        <w:t xml:space="preserve">10. Test and evaluation plan</w:t>
      </w:r>
    </w:p>
    <w:p>
      <w:pPr>
        <w:pStyle w:val="FirstParagraph"/>
      </w:pPr>
      <w:r>
        <w:t xml:space="preserve">Sixteen named tests cover correctness, coverage, pushdown, latency, crossover, complexity and reproducibility; every threshold is the HS1 provisional value, revised once at HS3 and then frozen.</w:t>
      </w:r>
    </w:p>
    <w:bookmarkStart w:id="65" w:name="evaluation-matrix"/>
    <w:p>
      <w:pPr>
        <w:pStyle w:val="Heading2"/>
      </w:pPr>
      <w:r>
        <w:t xml:space="preserve">10.1 Evaluation matrix</w:t>
      </w:r>
    </w:p>
    <w:tbl>
      <w:tblPr>
        <w:tblStyle w:val="Table"/>
        <w:tblLook w:firstRow="1" w:lastRow="0" w:firstColumn="0" w:lastColumn="0" w:noHBand="0" w:noVBand="0" w:val="0020"/>
        <w:jc w:val="start"/>
        <w:tblW w:w="9789"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569"/>
        <w:gridCol w:w="852"/>
        <w:gridCol w:w="1809"/>
        <w:gridCol w:w="1356"/>
        <w:gridCol w:w="1548"/>
        <w:gridCol w:w="1326"/>
        <w:gridCol w:w="1387"/>
        <w:gridCol w:w="942"/>
      </w:tblGrid>
      <w:tr>
        <w:trPr>
          <w:tblHeader w:val="true"/>
          <w:tblHeader w:val="true"/>
        </w:trPr>
        <w:tc>
          <w:tcPr>
            <w:tcW w:w="569" w:type="dxa"/>
            <w:shd w:val="clear" w:color="auto" w:fill="DCE6F2"/>
          </w:tcPr>
          <w:p>
            <w:pPr>
              <w:pStyle w:val="Compact"/>
              <w:spacing w:after="20" w:before="20"/>
              <w:jc w:val="left"/>
            </w:pPr>
            <w:r>
              <w:rPr>
                <w:b/>
                <w:sz w:val="15"/>
              </w:rPr>
              <w:t xml:space="preserve">ID</w:t>
            </w:r>
          </w:p>
        </w:tc>
        <w:tc>
          <w:tcPr>
            <w:tcW w:w="852" w:type="dxa"/>
            <w:shd w:val="clear" w:color="auto" w:fill="DCE6F2"/>
          </w:tcPr>
          <w:p>
            <w:pPr>
              <w:pStyle w:val="Compact"/>
              <w:spacing w:after="20" w:before="20"/>
              <w:jc w:val="left"/>
            </w:pPr>
            <w:r>
              <w:rPr>
                <w:b/>
                <w:sz w:val="15"/>
              </w:rPr>
              <w:t xml:space="preserve">Type</w:t>
            </w:r>
          </w:p>
        </w:tc>
        <w:tc>
          <w:tcPr>
            <w:tcW w:w="1809" w:type="dxa"/>
            <w:shd w:val="clear" w:color="auto" w:fill="DCE6F2"/>
          </w:tcPr>
          <w:p>
            <w:pPr>
              <w:pStyle w:val="Compact"/>
              <w:spacing w:after="20" w:before="20"/>
              <w:jc w:val="left"/>
            </w:pPr>
            <w:r>
              <w:rPr>
                <w:b/>
                <w:sz w:val="15"/>
              </w:rPr>
              <w:t xml:space="preserve">What it checks</w:t>
            </w:r>
          </w:p>
        </w:tc>
        <w:tc>
          <w:tcPr>
            <w:tcW w:w="1356" w:type="dxa"/>
            <w:shd w:val="clear" w:color="auto" w:fill="DCE6F2"/>
          </w:tcPr>
          <w:p>
            <w:pPr>
              <w:pStyle w:val="Compact"/>
              <w:spacing w:after="20" w:before="20"/>
              <w:jc w:val="left"/>
            </w:pPr>
            <w:r>
              <w:rPr>
                <w:b/>
                <w:sz w:val="15"/>
              </w:rPr>
              <w:t xml:space="preserve">Metric</w:t>
            </w:r>
          </w:p>
        </w:tc>
        <w:tc>
          <w:tcPr>
            <w:tcW w:w="1548" w:type="dxa"/>
            <w:shd w:val="clear" w:color="auto" w:fill="DCE6F2"/>
          </w:tcPr>
          <w:p>
            <w:pPr>
              <w:pStyle w:val="Compact"/>
              <w:spacing w:after="20" w:before="20"/>
              <w:jc w:val="left"/>
            </w:pPr>
            <w:r>
              <w:rPr>
                <w:b/>
                <w:sz w:val="15"/>
              </w:rPr>
              <w:t xml:space="preserve">Threshold (HS1)</w:t>
            </w:r>
          </w:p>
        </w:tc>
        <w:tc>
          <w:tcPr>
            <w:tcW w:w="1326" w:type="dxa"/>
            <w:shd w:val="clear" w:color="auto" w:fill="DCE6F2"/>
          </w:tcPr>
          <w:p>
            <w:pPr>
              <w:pStyle w:val="Compact"/>
              <w:spacing w:after="20" w:before="20"/>
              <w:jc w:val="left"/>
            </w:pPr>
            <w:r>
              <w:rPr>
                <w:b/>
                <w:sz w:val="15"/>
              </w:rPr>
              <w:t xml:space="preserve">Baseline / comparison</w:t>
            </w:r>
          </w:p>
        </w:tc>
        <w:tc>
          <w:tcPr>
            <w:tcW w:w="1387" w:type="dxa"/>
            <w:shd w:val="clear" w:color="auto" w:fill="DCE6F2"/>
          </w:tcPr>
          <w:p>
            <w:pPr>
              <w:pStyle w:val="Compact"/>
              <w:spacing w:after="20" w:before="20"/>
              <w:jc w:val="left"/>
            </w:pPr>
            <w:r>
              <w:rPr>
                <w:b/>
                <w:sz w:val="15"/>
              </w:rPr>
              <w:t xml:space="preserve">Evidence</w:t>
            </w:r>
          </w:p>
        </w:tc>
        <w:tc>
          <w:tcPr>
            <w:tcW w:w="942" w:type="dxa"/>
            <w:shd w:val="clear" w:color="auto" w:fill="DCE6F2"/>
          </w:tcPr>
          <w:p>
            <w:pPr>
              <w:pStyle w:val="Compact"/>
              <w:spacing w:after="20" w:before="20"/>
              <w:jc w:val="left"/>
            </w:pPr>
            <w:r>
              <w:rPr>
                <w:b/>
                <w:sz w:val="15"/>
              </w:rPr>
              <w:t xml:space="preserve">Runs</w:t>
            </w:r>
          </w:p>
        </w:tc>
      </w:tr>
      <w:tr>
        <w:tc>
          <w:tcPr>
            <w:tcW w:w="569" w:type="dxa"/>
          </w:tcPr>
          <w:p>
            <w:pPr>
              <w:pStyle w:val="Compact"/>
              <w:spacing w:after="20" w:before="20"/>
              <w:jc w:val="left"/>
            </w:pPr>
            <w:r>
              <w:rPr>
                <w:sz w:val="15"/>
              </w:rPr>
              <w:t xml:space="preserve">T-U1</w:t>
            </w:r>
          </w:p>
        </w:tc>
        <w:tc>
          <w:tcPr>
            <w:tcW w:w="852" w:type="dxa"/>
          </w:tcPr>
          <w:p>
            <w:pPr>
              <w:pStyle w:val="Compact"/>
              <w:spacing w:after="20" w:before="20"/>
              <w:jc w:val="left"/>
            </w:pPr>
            <w:r>
              <w:rPr>
                <w:sz w:val="15"/>
              </w:rPr>
              <w:t xml:space="preserve">Unit</w:t>
            </w:r>
          </w:p>
        </w:tc>
        <w:tc>
          <w:tcPr>
            <w:tcW w:w="1809" w:type="dxa"/>
          </w:tcPr>
          <w:p>
            <w:pPr>
              <w:pStyle w:val="Compact"/>
              <w:spacing w:after="20" w:before="20"/>
              <w:jc w:val="left"/>
            </w:pPr>
            <w:r>
              <w:rPr>
                <w:sz w:val="15"/>
              </w:rPr>
              <w:t xml:space="preserve">Resolver on ≥ 20 valid and invalid SDL fixtures</w:t>
            </w:r>
          </w:p>
        </w:tc>
        <w:tc>
          <w:tcPr>
            <w:tcW w:w="1356" w:type="dxa"/>
          </w:tcPr>
          <w:p>
            <w:pPr>
              <w:pStyle w:val="Compact"/>
              <w:spacing w:after="20" w:before="20"/>
              <w:jc w:val="left"/>
            </w:pPr>
            <w:r>
              <w:rPr>
                <w:sz w:val="15"/>
              </w:rPr>
              <w:t xml:space="preserve">pass rate, error codes</w:t>
            </w:r>
          </w:p>
        </w:tc>
        <w:tc>
          <w:tcPr>
            <w:tcW w:w="1548" w:type="dxa"/>
          </w:tcPr>
          <w:p>
            <w:pPr>
              <w:pStyle w:val="Compact"/>
              <w:spacing w:after="20" w:before="20"/>
              <w:jc w:val="left"/>
            </w:pPr>
            <w:r>
              <w:rPr>
                <w:sz w:val="15"/>
              </w:rPr>
              <w:t xml:space="preserve">100%</w:t>
            </w:r>
          </w:p>
        </w:tc>
        <w:tc>
          <w:tcPr>
            <w:tcW w:w="1326" w:type="dxa"/>
          </w:tcPr>
          <w:p>
            <w:pPr>
              <w:pStyle w:val="Compact"/>
              <w:spacing w:after="20" w:before="20"/>
              <w:jc w:val="left"/>
            </w:pPr>
            <w:r>
              <w:rPr>
                <w:sz w:val="15"/>
              </w:rPr>
              <w:t xml:space="preserve">expected placement map per fixture</w:t>
            </w:r>
          </w:p>
        </w:tc>
        <w:tc>
          <w:tcPr>
            <w:tcW w:w="1387" w:type="dxa"/>
          </w:tcPr>
          <w:p>
            <w:pPr>
              <w:pStyle w:val="Compact"/>
              <w:spacing w:after="20" w:before="20"/>
              <w:jc w:val="left"/>
            </w:pPr>
            <w:r>
              <w:rPr>
                <w:sz w:val="15"/>
              </w:rPr>
              <w:t xml:space="preserve">pytest report</w:t>
            </w:r>
          </w:p>
        </w:tc>
        <w:tc>
          <w:tcPr>
            <w:tcW w:w="942" w:type="dxa"/>
          </w:tcPr>
          <w:p>
            <w:pPr>
              <w:pStyle w:val="Compact"/>
              <w:spacing w:after="20" w:before="20"/>
              <w:jc w:val="left"/>
            </w:pPr>
            <w:r>
              <w:rPr>
                <w:sz w:val="15"/>
              </w:rPr>
              <w:t xml:space="preserve">every push</w:t>
            </w:r>
          </w:p>
        </w:tc>
      </w:tr>
      <w:tr>
        <w:tc>
          <w:tcPr>
            <w:tcW w:w="569" w:type="dxa"/>
          </w:tcPr>
          <w:p>
            <w:pPr>
              <w:pStyle w:val="Compact"/>
              <w:spacing w:after="20" w:before="20"/>
              <w:jc w:val="left"/>
            </w:pPr>
            <w:r>
              <w:rPr>
                <w:sz w:val="15"/>
              </w:rPr>
              <w:t xml:space="preserve">T-U2</w:t>
            </w:r>
          </w:p>
        </w:tc>
        <w:tc>
          <w:tcPr>
            <w:tcW w:w="852" w:type="dxa"/>
          </w:tcPr>
          <w:p>
            <w:pPr>
              <w:pStyle w:val="Compact"/>
              <w:spacing w:after="20" w:before="20"/>
              <w:jc w:val="left"/>
            </w:pPr>
            <w:r>
              <w:rPr>
                <w:sz w:val="15"/>
              </w:rPr>
              <w:t xml:space="preserve">Unit</w:t>
            </w:r>
          </w:p>
        </w:tc>
        <w:tc>
          <w:tcPr>
            <w:tcW w:w="1809" w:type="dxa"/>
          </w:tcPr>
          <w:p>
            <w:pPr>
              <w:pStyle w:val="Compact"/>
              <w:spacing w:after="20" w:before="20"/>
              <w:jc w:val="left"/>
            </w:pPr>
            <w:r>
              <w:rPr>
                <w:sz w:val="15"/>
              </w:rPr>
              <w:t xml:space="preserve">Planner output per operator shape</w:t>
            </w:r>
          </w:p>
        </w:tc>
        <w:tc>
          <w:tcPr>
            <w:tcW w:w="1356" w:type="dxa"/>
          </w:tcPr>
          <w:p>
            <w:pPr>
              <w:pStyle w:val="Compact"/>
              <w:spacing w:after="20" w:before="20"/>
              <w:jc w:val="left"/>
            </w:pPr>
            <w:r>
              <w:rPr>
                <w:sz w:val="15"/>
              </w:rPr>
              <w:t xml:space="preserve">plan tree equality</w:t>
            </w:r>
          </w:p>
        </w:tc>
        <w:tc>
          <w:tcPr>
            <w:tcW w:w="1548" w:type="dxa"/>
          </w:tcPr>
          <w:p>
            <w:pPr>
              <w:pStyle w:val="Compact"/>
              <w:spacing w:after="20" w:before="20"/>
              <w:jc w:val="left"/>
            </w:pPr>
            <w:r>
              <w:rPr>
                <w:sz w:val="15"/>
              </w:rPr>
              <w:t xml:space="preserve">100%</w:t>
            </w:r>
          </w:p>
        </w:tc>
        <w:tc>
          <w:tcPr>
            <w:tcW w:w="1326" w:type="dxa"/>
          </w:tcPr>
          <w:p>
            <w:pPr>
              <w:pStyle w:val="Compact"/>
              <w:spacing w:after="20" w:before="20"/>
              <w:jc w:val="left"/>
            </w:pPr>
            <w:r>
              <w:rPr>
                <w:sz w:val="15"/>
              </w:rPr>
              <w:t xml:space="preserve">hand-written expected plans</w:t>
            </w:r>
          </w:p>
        </w:tc>
        <w:tc>
          <w:tcPr>
            <w:tcW w:w="1387" w:type="dxa"/>
          </w:tcPr>
          <w:p>
            <w:pPr>
              <w:pStyle w:val="Compact"/>
              <w:spacing w:after="20" w:before="20"/>
              <w:jc w:val="left"/>
            </w:pPr>
            <w:r>
              <w:rPr>
                <w:sz w:val="15"/>
              </w:rPr>
              <w:t xml:space="preserve">pytest report</w:t>
            </w:r>
          </w:p>
        </w:tc>
        <w:tc>
          <w:tcPr>
            <w:tcW w:w="942" w:type="dxa"/>
          </w:tcPr>
          <w:p>
            <w:pPr>
              <w:pStyle w:val="Compact"/>
              <w:spacing w:after="20" w:before="20"/>
              <w:jc w:val="left"/>
            </w:pPr>
            <w:r>
              <w:rPr>
                <w:sz w:val="15"/>
              </w:rPr>
              <w:t xml:space="preserve">every push</w:t>
            </w:r>
          </w:p>
        </w:tc>
      </w:tr>
      <w:tr>
        <w:tc>
          <w:tcPr>
            <w:tcW w:w="569" w:type="dxa"/>
          </w:tcPr>
          <w:p>
            <w:pPr>
              <w:pStyle w:val="Compact"/>
              <w:spacing w:after="20" w:before="20"/>
              <w:jc w:val="left"/>
            </w:pPr>
            <w:r>
              <w:rPr>
                <w:sz w:val="15"/>
              </w:rPr>
              <w:t xml:space="preserve">T-U3</w:t>
            </w:r>
          </w:p>
        </w:tc>
        <w:tc>
          <w:tcPr>
            <w:tcW w:w="852" w:type="dxa"/>
          </w:tcPr>
          <w:p>
            <w:pPr>
              <w:pStyle w:val="Compact"/>
              <w:spacing w:after="20" w:before="20"/>
              <w:jc w:val="left"/>
            </w:pPr>
            <w:r>
              <w:rPr>
                <w:sz w:val="15"/>
              </w:rPr>
              <w:t xml:space="preserve">Unit</w:t>
            </w:r>
          </w:p>
        </w:tc>
        <w:tc>
          <w:tcPr>
            <w:tcW w:w="1809" w:type="dxa"/>
          </w:tcPr>
          <w:p>
            <w:pPr>
              <w:pStyle w:val="Compact"/>
              <w:spacing w:after="20" w:before="20"/>
              <w:jc w:val="left"/>
            </w:pPr>
            <w:r>
              <w:rPr>
                <w:sz w:val="15"/>
              </w:rPr>
              <w:t xml:space="preserve">Each rewrite rule fires when it should and not when it must not</w:t>
            </w:r>
          </w:p>
        </w:tc>
        <w:tc>
          <w:tcPr>
            <w:tcW w:w="1356" w:type="dxa"/>
          </w:tcPr>
          <w:p>
            <w:pPr>
              <w:pStyle w:val="Compact"/>
              <w:spacing w:after="20" w:before="20"/>
              <w:jc w:val="left"/>
            </w:pPr>
            <w:r>
              <w:rPr>
                <w:sz w:val="15"/>
              </w:rPr>
              <w:t xml:space="preserve">before/after plan assertions</w:t>
            </w:r>
          </w:p>
        </w:tc>
        <w:tc>
          <w:tcPr>
            <w:tcW w:w="1548" w:type="dxa"/>
          </w:tcPr>
          <w:p>
            <w:pPr>
              <w:pStyle w:val="Compact"/>
              <w:spacing w:after="20" w:before="20"/>
              <w:jc w:val="left"/>
            </w:pPr>
            <w:r>
              <w:rPr>
                <w:sz w:val="15"/>
              </w:rPr>
              <w:t xml:space="preserve">100%</w:t>
            </w:r>
          </w:p>
        </w:tc>
        <w:tc>
          <w:tcPr>
            <w:tcW w:w="1326" w:type="dxa"/>
          </w:tcPr>
          <w:p>
            <w:pPr>
              <w:pStyle w:val="Compact"/>
              <w:spacing w:after="20" w:before="20"/>
              <w:jc w:val="left"/>
            </w:pPr>
            <w:r>
              <w:rPr>
                <w:sz w:val="15"/>
              </w:rPr>
              <w:t xml:space="preserve">negative cases per rule</w:t>
            </w:r>
          </w:p>
        </w:tc>
        <w:tc>
          <w:tcPr>
            <w:tcW w:w="1387" w:type="dxa"/>
          </w:tcPr>
          <w:p>
            <w:pPr>
              <w:pStyle w:val="Compact"/>
              <w:spacing w:after="20" w:before="20"/>
              <w:jc w:val="left"/>
            </w:pPr>
            <w:r>
              <w:rPr>
                <w:sz w:val="15"/>
              </w:rPr>
              <w:t xml:space="preserve">pytest report</w:t>
            </w:r>
          </w:p>
        </w:tc>
        <w:tc>
          <w:tcPr>
            <w:tcW w:w="942" w:type="dxa"/>
          </w:tcPr>
          <w:p>
            <w:pPr>
              <w:pStyle w:val="Compact"/>
              <w:spacing w:after="20" w:before="20"/>
              <w:jc w:val="left"/>
            </w:pPr>
            <w:r>
              <w:rPr>
                <w:sz w:val="15"/>
              </w:rPr>
              <w:t xml:space="preserve">every push</w:t>
            </w:r>
          </w:p>
        </w:tc>
      </w:tr>
      <w:tr>
        <w:tc>
          <w:tcPr>
            <w:tcW w:w="569" w:type="dxa"/>
          </w:tcPr>
          <w:p>
            <w:pPr>
              <w:pStyle w:val="Compact"/>
              <w:spacing w:after="20" w:before="20"/>
              <w:jc w:val="left"/>
            </w:pPr>
            <w:r>
              <w:rPr>
                <w:sz w:val="15"/>
              </w:rPr>
              <w:t xml:space="preserve">T-C1</w:t>
            </w:r>
          </w:p>
        </w:tc>
        <w:tc>
          <w:tcPr>
            <w:tcW w:w="852" w:type="dxa"/>
          </w:tcPr>
          <w:p>
            <w:pPr>
              <w:pStyle w:val="Compact"/>
              <w:spacing w:after="20" w:before="20"/>
              <w:jc w:val="left"/>
            </w:pPr>
            <w:r>
              <w:rPr>
                <w:sz w:val="15"/>
              </w:rPr>
              <w:t xml:space="preserve">Conformance</w:t>
            </w:r>
          </w:p>
        </w:tc>
        <w:tc>
          <w:tcPr>
            <w:tcW w:w="1809" w:type="dxa"/>
          </w:tcPr>
          <w:p>
            <w:pPr>
              <w:pStyle w:val="Compact"/>
              <w:spacing w:after="20" w:before="20"/>
              <w:jc w:val="left"/>
            </w:pPr>
            <w:r>
              <w:rPr>
                <w:sz w:val="15"/>
              </w:rPr>
              <w:t xml:space="preserve">Every MVA operator × backend pair end to end</w:t>
            </w:r>
          </w:p>
        </w:tc>
        <w:tc>
          <w:tcPr>
            <w:tcW w:w="1356" w:type="dxa"/>
          </w:tcPr>
          <w:p>
            <w:pPr>
              <w:pStyle w:val="Compact"/>
              <w:spacing w:after="20" w:before="20"/>
              <w:jc w:val="left"/>
            </w:pPr>
            <w:r>
              <w:rPr>
                <w:sz w:val="15"/>
              </w:rPr>
              <w:t xml:space="preserve">executable pairs</w:t>
            </w:r>
          </w:p>
        </w:tc>
        <w:tc>
          <w:tcPr>
            <w:tcW w:w="1548" w:type="dxa"/>
          </w:tcPr>
          <w:p>
            <w:pPr>
              <w:pStyle w:val="Compact"/>
              <w:spacing w:after="20" w:before="20"/>
              <w:jc w:val="left"/>
            </w:pPr>
            <w:r>
              <w:rPr>
                <w:sz w:val="15"/>
              </w:rPr>
              <w:t xml:space="preserve">100% MVA; ≥ 80% with extensions (SC-2)</w:t>
            </w:r>
          </w:p>
        </w:tc>
        <w:tc>
          <w:tcPr>
            <w:tcW w:w="1326" w:type="dxa"/>
          </w:tcPr>
          <w:p>
            <w:pPr>
              <w:pStyle w:val="Compact"/>
              <w:spacing w:after="20" w:before="20"/>
              <w:jc w:val="left"/>
            </w:pPr>
            <w:r>
              <w:rPr>
                <w:sz w:val="15"/>
              </w:rPr>
              <w:t xml:space="preserve">operator list HS1 §6.4</w:t>
            </w:r>
          </w:p>
        </w:tc>
        <w:tc>
          <w:tcPr>
            <w:tcW w:w="1387" w:type="dxa"/>
          </w:tcPr>
          <w:p>
            <w:pPr>
              <w:pStyle w:val="Compact"/>
              <w:spacing w:after="20" w:before="20"/>
              <w:jc w:val="left"/>
            </w:pPr>
            <w:r>
              <w:rPr>
                <w:sz w:val="15"/>
              </w:rPr>
              <w:t xml:space="preserve">conformance table</w:t>
            </w:r>
          </w:p>
        </w:tc>
        <w:tc>
          <w:tcPr>
            <w:tcW w:w="942" w:type="dxa"/>
          </w:tcPr>
          <w:p>
            <w:pPr>
              <w:pStyle w:val="Compact"/>
              <w:spacing w:after="20" w:before="20"/>
              <w:jc w:val="left"/>
            </w:pPr>
            <w:r>
              <w:rPr>
                <w:sz w:val="15"/>
              </w:rPr>
              <w:t xml:space="preserve">every push</w:t>
            </w:r>
          </w:p>
        </w:tc>
      </w:tr>
      <w:tr>
        <w:tc>
          <w:tcPr>
            <w:tcW w:w="569" w:type="dxa"/>
          </w:tcPr>
          <w:p>
            <w:pPr>
              <w:pStyle w:val="Compact"/>
              <w:spacing w:after="20" w:before="20"/>
              <w:jc w:val="left"/>
            </w:pPr>
            <w:r>
              <w:rPr>
                <w:sz w:val="15"/>
              </w:rPr>
              <w:t xml:space="preserve">T-I0</w:t>
            </w:r>
          </w:p>
        </w:tc>
        <w:tc>
          <w:tcPr>
            <w:tcW w:w="852" w:type="dxa"/>
          </w:tcPr>
          <w:p>
            <w:pPr>
              <w:pStyle w:val="Compact"/>
              <w:spacing w:after="20" w:before="20"/>
              <w:jc w:val="left"/>
            </w:pPr>
            <w:r>
              <w:rPr>
                <w:sz w:val="15"/>
              </w:rPr>
              <w:t xml:space="preserve">Contract</w:t>
            </w:r>
          </w:p>
        </w:tc>
        <w:tc>
          <w:tcPr>
            <w:tcW w:w="1809" w:type="dxa"/>
          </w:tcPr>
          <w:p>
            <w:pPr>
              <w:pStyle w:val="Compact"/>
              <w:spacing w:after="20" w:before="20"/>
              <w:jc w:val="left"/>
            </w:pPr>
            <w:r>
              <w:rPr>
                <w:sz w:val="15"/>
              </w:rPr>
              <w:t xml:space="preserve">Each external contract round-trips (§7)</w:t>
            </w:r>
          </w:p>
        </w:tc>
        <w:tc>
          <w:tcPr>
            <w:tcW w:w="1356" w:type="dxa"/>
          </w:tcPr>
          <w:p>
            <w:pPr>
              <w:pStyle w:val="Compact"/>
              <w:spacing w:after="20" w:before="20"/>
              <w:jc w:val="left"/>
            </w:pPr>
            <w:r>
              <w:rPr>
                <w:sz w:val="15"/>
              </w:rPr>
              <w:t xml:space="preserve">pass</w:t>
            </w:r>
          </w:p>
        </w:tc>
        <w:tc>
          <w:tcPr>
            <w:tcW w:w="1548" w:type="dxa"/>
          </w:tcPr>
          <w:p>
            <w:pPr>
              <w:pStyle w:val="Compact"/>
              <w:spacing w:after="20" w:before="20"/>
              <w:jc w:val="left"/>
            </w:pPr>
            <w:r>
              <w:rPr>
                <w:sz w:val="15"/>
              </w:rPr>
              <w:t xml:space="preserve">100%</w:t>
            </w:r>
          </w:p>
        </w:tc>
        <w:tc>
          <w:tcPr>
            <w:tcW w:w="1326" w:type="dxa"/>
          </w:tcPr>
          <w:p>
            <w:pPr>
              <w:pStyle w:val="Compact"/>
              <w:spacing w:after="20" w:before="20"/>
              <w:jc w:val="left"/>
            </w:pPr>
            <w:r>
              <w:rPr>
                <w:sz w:val="15"/>
              </w:rPr>
              <w:t xml:space="preserve">—</w:t>
            </w:r>
          </w:p>
        </w:tc>
        <w:tc>
          <w:tcPr>
            <w:tcW w:w="1387" w:type="dxa"/>
          </w:tcPr>
          <w:p>
            <w:pPr>
              <w:pStyle w:val="Compact"/>
              <w:spacing w:after="20" w:before="20"/>
              <w:jc w:val="left"/>
            </w:pPr>
            <w:r>
              <w:rPr>
                <w:sz w:val="15"/>
              </w:rPr>
              <w:t xml:space="preserve">pytest report</w:t>
            </w:r>
          </w:p>
        </w:tc>
        <w:tc>
          <w:tcPr>
            <w:tcW w:w="942" w:type="dxa"/>
          </w:tcPr>
          <w:p>
            <w:pPr>
              <w:pStyle w:val="Compact"/>
              <w:spacing w:after="20" w:before="20"/>
              <w:jc w:val="left"/>
            </w:pPr>
            <w:r>
              <w:rPr>
                <w:sz w:val="15"/>
              </w:rPr>
              <w:t xml:space="preserve">Week 5, then nightly</w:t>
            </w:r>
          </w:p>
        </w:tc>
      </w:tr>
      <w:tr>
        <w:tc>
          <w:tcPr>
            <w:tcW w:w="569" w:type="dxa"/>
          </w:tcPr>
          <w:p>
            <w:pPr>
              <w:pStyle w:val="Compact"/>
              <w:spacing w:after="20" w:before="20"/>
              <w:jc w:val="left"/>
            </w:pPr>
            <w:r>
              <w:rPr>
                <w:sz w:val="15"/>
              </w:rPr>
              <w:t xml:space="preserve">T-D1</w:t>
            </w:r>
          </w:p>
        </w:tc>
        <w:tc>
          <w:tcPr>
            <w:tcW w:w="852" w:type="dxa"/>
          </w:tcPr>
          <w:p>
            <w:pPr>
              <w:pStyle w:val="Compact"/>
              <w:spacing w:after="20" w:before="20"/>
              <w:jc w:val="left"/>
            </w:pPr>
            <w:r>
              <w:rPr>
                <w:sz w:val="15"/>
              </w:rPr>
              <w:t xml:space="preserve">Data</w:t>
            </w:r>
          </w:p>
        </w:tc>
        <w:tc>
          <w:tcPr>
            <w:tcW w:w="1809" w:type="dxa"/>
          </w:tcPr>
          <w:p>
            <w:pPr>
              <w:pStyle w:val="Compact"/>
              <w:spacing w:after="20" w:before="20"/>
              <w:jc w:val="left"/>
            </w:pPr>
            <w:r>
              <w:rPr>
                <w:sz w:val="15"/>
              </w:rPr>
              <w:t xml:space="preserve">Generator determinism</w:t>
            </w:r>
          </w:p>
        </w:tc>
        <w:tc>
          <w:tcPr>
            <w:tcW w:w="1356" w:type="dxa"/>
          </w:tcPr>
          <w:p>
            <w:pPr>
              <w:pStyle w:val="Compact"/>
              <w:spacing w:after="20" w:before="20"/>
              <w:jc w:val="left"/>
            </w:pPr>
            <w:r>
              <w:rPr>
                <w:sz w:val="15"/>
              </w:rPr>
              <w:t xml:space="preserve">SHA-256 of output, two runs, same seed</w:t>
            </w:r>
          </w:p>
        </w:tc>
        <w:tc>
          <w:tcPr>
            <w:tcW w:w="1548" w:type="dxa"/>
          </w:tcPr>
          <w:p>
            <w:pPr>
              <w:pStyle w:val="Compact"/>
              <w:spacing w:after="20" w:before="20"/>
              <w:jc w:val="left"/>
            </w:pPr>
            <w:r>
              <w:rPr>
                <w:sz w:val="15"/>
              </w:rPr>
              <w:t xml:space="preserve">identical</w:t>
            </w:r>
          </w:p>
        </w:tc>
        <w:tc>
          <w:tcPr>
            <w:tcW w:w="1326" w:type="dxa"/>
          </w:tcPr>
          <w:p>
            <w:pPr>
              <w:pStyle w:val="Compact"/>
              <w:spacing w:after="20" w:before="20"/>
              <w:jc w:val="left"/>
            </w:pPr>
            <w:r>
              <w:rPr>
                <w:sz w:val="15"/>
              </w:rPr>
              <w:t xml:space="preserve">—</w:t>
            </w:r>
          </w:p>
        </w:tc>
        <w:tc>
          <w:tcPr>
            <w:tcW w:w="1387" w:type="dxa"/>
          </w:tcPr>
          <w:p>
            <w:pPr>
              <w:pStyle w:val="Compact"/>
              <w:spacing w:after="20" w:before="20"/>
              <w:jc w:val="left"/>
            </w:pPr>
            <w:r>
              <w:rPr>
                <w:sz w:val="15"/>
              </w:rPr>
              <w:t xml:space="preserve">manifest</w:t>
            </w:r>
          </w:p>
        </w:tc>
        <w:tc>
          <w:tcPr>
            <w:tcW w:w="942" w:type="dxa"/>
          </w:tcPr>
          <w:p>
            <w:pPr>
              <w:pStyle w:val="Compact"/>
              <w:spacing w:after="20" w:before="20"/>
              <w:jc w:val="left"/>
            </w:pPr>
            <w:r>
              <w:rPr>
                <w:sz w:val="15"/>
              </w:rPr>
              <w:t xml:space="preserve">every</w:t>
            </w:r>
            <w:r>
              <w:rPr>
                <w:sz w:val="15"/>
              </w:rPr>
              <w:t xml:space="preserve"> </w:t>
            </w:r>
            <w:r>
              <w:rPr>
                <w:rStyle w:val="VerbatimChar"/>
                <w:sz w:val="15"/>
              </w:rPr>
              <w:t xml:space="preserve">make data</w:t>
            </w:r>
          </w:p>
        </w:tc>
      </w:tr>
      <w:tr>
        <w:tc>
          <w:tcPr>
            <w:tcW w:w="569" w:type="dxa"/>
          </w:tcPr>
          <w:p>
            <w:pPr>
              <w:pStyle w:val="Compact"/>
              <w:spacing w:after="20" w:before="20"/>
              <w:jc w:val="left"/>
            </w:pPr>
            <w:r>
              <w:rPr>
                <w:sz w:val="15"/>
              </w:rPr>
              <w:t xml:space="preserve">T-D2</w:t>
            </w:r>
          </w:p>
        </w:tc>
        <w:tc>
          <w:tcPr>
            <w:tcW w:w="852" w:type="dxa"/>
          </w:tcPr>
          <w:p>
            <w:pPr>
              <w:pStyle w:val="Compact"/>
              <w:spacing w:after="20" w:before="20"/>
              <w:jc w:val="left"/>
            </w:pPr>
            <w:r>
              <w:rPr>
                <w:sz w:val="15"/>
              </w:rPr>
              <w:t xml:space="preserve">Data</w:t>
            </w:r>
          </w:p>
        </w:tc>
        <w:tc>
          <w:tcPr>
            <w:tcW w:w="1809" w:type="dxa"/>
          </w:tcPr>
          <w:p>
            <w:pPr>
              <w:pStyle w:val="Compact"/>
              <w:spacing w:after="20" w:before="20"/>
              <w:jc w:val="left"/>
            </w:pPr>
            <w:r>
              <w:rPr>
                <w:sz w:val="15"/>
              </w:rPr>
              <w:t xml:space="preserve">Placement equivalence (§5.5)</w:t>
            </w:r>
          </w:p>
        </w:tc>
        <w:tc>
          <w:tcPr>
            <w:tcW w:w="1356" w:type="dxa"/>
          </w:tcPr>
          <w:p>
            <w:pPr>
              <w:pStyle w:val="Compact"/>
              <w:spacing w:after="20" w:before="20"/>
              <w:jc w:val="left"/>
            </w:pPr>
            <w:r>
              <w:rPr>
                <w:sz w:val="15"/>
              </w:rPr>
              <w:t xml:space="preserve">counts + checksums</w:t>
            </w:r>
          </w:p>
        </w:tc>
        <w:tc>
          <w:tcPr>
            <w:tcW w:w="1548" w:type="dxa"/>
          </w:tcPr>
          <w:p>
            <w:pPr>
              <w:pStyle w:val="Compact"/>
              <w:spacing w:after="20" w:before="20"/>
              <w:jc w:val="left"/>
            </w:pPr>
            <w:r>
              <w:rPr>
                <w:sz w:val="15"/>
              </w:rPr>
              <w:t xml:space="preserve">identical</w:t>
            </w:r>
          </w:p>
        </w:tc>
        <w:tc>
          <w:tcPr>
            <w:tcW w:w="1326" w:type="dxa"/>
          </w:tcPr>
          <w:p>
            <w:pPr>
              <w:pStyle w:val="Compact"/>
              <w:spacing w:after="20" w:before="20"/>
              <w:jc w:val="left"/>
            </w:pPr>
            <w:r>
              <w:rPr>
                <w:sz w:val="15"/>
              </w:rPr>
              <w:t xml:space="preserve">consolidated mirror</w:t>
            </w:r>
          </w:p>
        </w:tc>
        <w:tc>
          <w:tcPr>
            <w:tcW w:w="1387" w:type="dxa"/>
          </w:tcPr>
          <w:p>
            <w:pPr>
              <w:pStyle w:val="Compact"/>
              <w:spacing w:after="20" w:before="20"/>
              <w:jc w:val="left"/>
            </w:pPr>
            <w:r>
              <w:rPr>
                <w:sz w:val="15"/>
              </w:rPr>
              <w:t xml:space="preserve">manifest</w:t>
            </w:r>
          </w:p>
        </w:tc>
        <w:tc>
          <w:tcPr>
            <w:tcW w:w="942" w:type="dxa"/>
          </w:tcPr>
          <w:p>
            <w:pPr>
              <w:pStyle w:val="Compact"/>
              <w:spacing w:after="20" w:before="20"/>
              <w:jc w:val="left"/>
            </w:pPr>
            <w:r>
              <w:rPr>
                <w:sz w:val="15"/>
              </w:rPr>
              <w:t xml:space="preserve">every load</w:t>
            </w:r>
          </w:p>
        </w:tc>
      </w:tr>
      <w:tr>
        <w:tc>
          <w:tcPr>
            <w:tcW w:w="569" w:type="dxa"/>
          </w:tcPr>
          <w:p>
            <w:pPr>
              <w:pStyle w:val="Compact"/>
              <w:spacing w:after="20" w:before="20"/>
              <w:jc w:val="left"/>
            </w:pPr>
            <w:r>
              <w:rPr>
                <w:sz w:val="15"/>
              </w:rPr>
              <w:t xml:space="preserve">T-O1</w:t>
            </w:r>
          </w:p>
        </w:tc>
        <w:tc>
          <w:tcPr>
            <w:tcW w:w="852" w:type="dxa"/>
          </w:tcPr>
          <w:p>
            <w:pPr>
              <w:pStyle w:val="Compact"/>
              <w:spacing w:after="20" w:before="20"/>
              <w:jc w:val="left"/>
            </w:pPr>
            <w:r>
              <w:rPr>
                <w:sz w:val="15"/>
              </w:rPr>
              <w:t xml:space="preserve">Differential</w:t>
            </w:r>
          </w:p>
        </w:tc>
        <w:tc>
          <w:tcPr>
            <w:tcW w:w="1809" w:type="dxa"/>
          </w:tcPr>
          <w:p>
            <w:pPr>
              <w:pStyle w:val="Compact"/>
              <w:spacing w:after="20" w:before="20"/>
              <w:jc w:val="left"/>
            </w:pPr>
            <w:r>
              <w:rPr>
                <w:sz w:val="15"/>
              </w:rPr>
              <w:t xml:space="preserve">Whole workload, engine vs reference SQL</w:t>
            </w:r>
          </w:p>
        </w:tc>
        <w:tc>
          <w:tcPr>
            <w:tcW w:w="1356" w:type="dxa"/>
          </w:tcPr>
          <w:p>
            <w:pPr>
              <w:pStyle w:val="Compact"/>
              <w:spacing w:after="20" w:before="20"/>
              <w:jc w:val="left"/>
            </w:pPr>
            <w:r>
              <w:rPr>
                <w:sz w:val="15"/>
              </w:rPr>
              <w:t xml:space="preserve">agreement</w:t>
            </w:r>
          </w:p>
        </w:tc>
        <w:tc>
          <w:tcPr>
            <w:tcW w:w="1548" w:type="dxa"/>
          </w:tcPr>
          <w:p>
            <w:pPr>
              <w:pStyle w:val="Compact"/>
              <w:spacing w:after="20" w:before="20"/>
              <w:jc w:val="left"/>
            </w:pPr>
            <w:r>
              <w:rPr>
                <w:sz w:val="15"/>
              </w:rPr>
              <w:t xml:space="preserve">100%, zero unexplained divergences (SC-1)</w:t>
            </w:r>
          </w:p>
        </w:tc>
        <w:tc>
          <w:tcPr>
            <w:tcW w:w="1326" w:type="dxa"/>
          </w:tcPr>
          <w:p>
            <w:pPr>
              <w:pStyle w:val="Compact"/>
              <w:spacing w:after="20" w:before="20"/>
              <w:jc w:val="left"/>
            </w:pPr>
            <w:r>
              <w:rPr>
                <w:sz w:val="15"/>
              </w:rPr>
              <w:t xml:space="preserve">reference SQL on</w:t>
            </w:r>
            <w:r>
              <w:rPr>
                <w:sz w:val="15"/>
              </w:rPr>
              <w:t xml:space="preserve"> </w:t>
            </w:r>
            <w:r>
              <w:rPr>
                <w:rStyle w:val="VerbatimChar"/>
                <w:sz w:val="15"/>
              </w:rPr>
              <w:t xml:space="preserve">pg-cons</w:t>
            </w:r>
          </w:p>
        </w:tc>
        <w:tc>
          <w:tcPr>
            <w:tcW w:w="1387" w:type="dxa"/>
          </w:tcPr>
          <w:p>
            <w:pPr>
              <w:pStyle w:val="Compact"/>
              <w:spacing w:after="20" w:before="20"/>
              <w:jc w:val="left"/>
            </w:pPr>
            <w:r>
              <w:rPr>
                <w:sz w:val="15"/>
              </w:rPr>
              <w:t xml:space="preserve">CI oracle log</w:t>
            </w:r>
          </w:p>
        </w:tc>
        <w:tc>
          <w:tcPr>
            <w:tcW w:w="942" w:type="dxa"/>
          </w:tcPr>
          <w:p>
            <w:pPr>
              <w:pStyle w:val="Compact"/>
              <w:spacing w:after="20" w:before="20"/>
              <w:jc w:val="left"/>
            </w:pPr>
            <w:r>
              <w:rPr>
                <w:sz w:val="15"/>
              </w:rPr>
              <w:t xml:space="preserve">every push</w:t>
            </w:r>
          </w:p>
        </w:tc>
      </w:tr>
      <w:tr>
        <w:tc>
          <w:tcPr>
            <w:tcW w:w="569" w:type="dxa"/>
          </w:tcPr>
          <w:p>
            <w:pPr>
              <w:pStyle w:val="Compact"/>
              <w:spacing w:after="20" w:before="20"/>
              <w:jc w:val="left"/>
            </w:pPr>
            <w:r>
              <w:rPr>
                <w:sz w:val="15"/>
              </w:rPr>
              <w:t xml:space="preserve">T-P1</w:t>
            </w:r>
          </w:p>
        </w:tc>
        <w:tc>
          <w:tcPr>
            <w:tcW w:w="852" w:type="dxa"/>
          </w:tcPr>
          <w:p>
            <w:pPr>
              <w:pStyle w:val="Compact"/>
              <w:spacing w:after="20" w:before="20"/>
              <w:jc w:val="left"/>
            </w:pPr>
            <w:r>
              <w:rPr>
                <w:sz w:val="15"/>
              </w:rPr>
              <w:t xml:space="preserve">Property</w:t>
            </w:r>
          </w:p>
        </w:tc>
        <w:tc>
          <w:tcPr>
            <w:tcW w:w="1809" w:type="dxa"/>
          </w:tcPr>
          <w:p>
            <w:pPr>
              <w:pStyle w:val="Compact"/>
              <w:spacing w:after="20" w:before="20"/>
              <w:jc w:val="left"/>
            </w:pPr>
            <w:r>
              <w:rPr>
                <w:sz w:val="15"/>
              </w:rPr>
              <w:t xml:space="preserve">Hypothesis-generated predicates, limits, thresholds</w:t>
            </w:r>
          </w:p>
        </w:tc>
        <w:tc>
          <w:tcPr>
            <w:tcW w:w="1356" w:type="dxa"/>
          </w:tcPr>
          <w:p>
            <w:pPr>
              <w:pStyle w:val="Compact"/>
              <w:spacing w:after="20" w:before="20"/>
              <w:jc w:val="left"/>
            </w:pPr>
            <w:r>
              <w:rPr>
                <w:sz w:val="15"/>
              </w:rPr>
              <w:t xml:space="preserve">agreement</w:t>
            </w:r>
          </w:p>
        </w:tc>
        <w:tc>
          <w:tcPr>
            <w:tcW w:w="1548" w:type="dxa"/>
          </w:tcPr>
          <w:p>
            <w:pPr>
              <w:pStyle w:val="Compact"/>
              <w:spacing w:after="20" w:before="20"/>
              <w:jc w:val="left"/>
            </w:pPr>
            <w:r>
              <w:rPr>
                <w:sz w:val="15"/>
              </w:rPr>
              <w:t xml:space="preserve">100% over 500 examples per run</w:t>
            </w:r>
          </w:p>
        </w:tc>
        <w:tc>
          <w:tcPr>
            <w:tcW w:w="1326" w:type="dxa"/>
          </w:tcPr>
          <w:p>
            <w:pPr>
              <w:pStyle w:val="Compact"/>
              <w:spacing w:after="20" w:before="20"/>
              <w:jc w:val="left"/>
            </w:pPr>
            <w:r>
              <w:rPr>
                <w:sz w:val="15"/>
              </w:rPr>
              <w:t xml:space="preserve">same oracle</w:t>
            </w:r>
          </w:p>
        </w:tc>
        <w:tc>
          <w:tcPr>
            <w:tcW w:w="1387" w:type="dxa"/>
          </w:tcPr>
          <w:p>
            <w:pPr>
              <w:pStyle w:val="Compact"/>
              <w:spacing w:after="20" w:before="20"/>
              <w:jc w:val="left"/>
            </w:pPr>
            <w:r>
              <w:rPr>
                <w:sz w:val="15"/>
              </w:rPr>
              <w:t xml:space="preserve">shrunk counterexamples kept as regression tests</w:t>
            </w:r>
          </w:p>
        </w:tc>
        <w:tc>
          <w:tcPr>
            <w:tcW w:w="942" w:type="dxa"/>
          </w:tcPr>
          <w:p>
            <w:pPr>
              <w:pStyle w:val="Compact"/>
              <w:spacing w:after="20" w:before="20"/>
              <w:jc w:val="left"/>
            </w:pPr>
            <w:r>
              <w:rPr>
                <w:sz w:val="15"/>
              </w:rPr>
              <w:t xml:space="preserve">every push</w:t>
            </w:r>
          </w:p>
        </w:tc>
      </w:tr>
      <w:tr>
        <w:tc>
          <w:tcPr>
            <w:tcW w:w="569" w:type="dxa"/>
          </w:tcPr>
          <w:p>
            <w:pPr>
              <w:pStyle w:val="Compact"/>
              <w:spacing w:after="20" w:before="20"/>
              <w:jc w:val="left"/>
            </w:pPr>
            <w:r>
              <w:rPr>
                <w:sz w:val="15"/>
              </w:rPr>
              <w:t xml:space="preserve">T-H1</w:t>
            </w:r>
          </w:p>
        </w:tc>
        <w:tc>
          <w:tcPr>
            <w:tcW w:w="852" w:type="dxa"/>
          </w:tcPr>
          <w:p>
            <w:pPr>
              <w:pStyle w:val="Compact"/>
              <w:spacing w:after="20" w:before="20"/>
              <w:jc w:val="left"/>
            </w:pPr>
            <w:r>
              <w:rPr>
                <w:sz w:val="15"/>
              </w:rPr>
              <w:t xml:space="preserve">Harness</w:t>
            </w:r>
          </w:p>
        </w:tc>
        <w:tc>
          <w:tcPr>
            <w:tcW w:w="1809" w:type="dxa"/>
          </w:tcPr>
          <w:p>
            <w:pPr>
              <w:pStyle w:val="Compact"/>
              <w:spacing w:after="20" w:before="20"/>
              <w:jc w:val="left"/>
            </w:pPr>
            <w:r>
              <w:rPr>
                <w:sz w:val="15"/>
              </w:rPr>
              <w:t xml:space="preserve">Timer resolution; byte counters vs network counters</w:t>
            </w:r>
          </w:p>
        </w:tc>
        <w:tc>
          <w:tcPr>
            <w:tcW w:w="1356" w:type="dxa"/>
          </w:tcPr>
          <w:p>
            <w:pPr>
              <w:pStyle w:val="Compact"/>
              <w:spacing w:after="20" w:before="20"/>
              <w:jc w:val="left"/>
            </w:pPr>
            <w:r>
              <w:rPr>
                <w:sz w:val="15"/>
              </w:rPr>
              <w:t xml:space="preserve">disagreement</w:t>
            </w:r>
          </w:p>
        </w:tc>
        <w:tc>
          <w:tcPr>
            <w:tcW w:w="1548" w:type="dxa"/>
          </w:tcPr>
          <w:p>
            <w:pPr>
              <w:pStyle w:val="Compact"/>
              <w:spacing w:after="20" w:before="20"/>
              <w:jc w:val="left"/>
            </w:pPr>
            <w:r>
              <w:rPr>
                <w:sz w:val="15"/>
              </w:rPr>
              <w:t xml:space="preserve">within protocol overhead, else run flagged</w:t>
            </w:r>
          </w:p>
        </w:tc>
        <w:tc>
          <w:tcPr>
            <w:tcW w:w="1326" w:type="dxa"/>
          </w:tcPr>
          <w:p>
            <w:pPr>
              <w:pStyle w:val="Compact"/>
              <w:spacing w:after="20" w:before="20"/>
              <w:jc w:val="left"/>
            </w:pPr>
            <w:r>
              <w:rPr>
                <w:sz w:val="15"/>
              </w:rPr>
              <w:t xml:space="preserve">—</w:t>
            </w:r>
          </w:p>
        </w:tc>
        <w:tc>
          <w:tcPr>
            <w:tcW w:w="1387" w:type="dxa"/>
          </w:tcPr>
          <w:p>
            <w:pPr>
              <w:pStyle w:val="Compact"/>
              <w:spacing w:after="20" w:before="20"/>
              <w:jc w:val="left"/>
            </w:pPr>
            <w:r>
              <w:rPr>
                <w:sz w:val="15"/>
              </w:rPr>
              <w:t xml:space="preserve">self-test log</w:t>
            </w:r>
          </w:p>
        </w:tc>
        <w:tc>
          <w:tcPr>
            <w:tcW w:w="942" w:type="dxa"/>
          </w:tcPr>
          <w:p>
            <w:pPr>
              <w:pStyle w:val="Compact"/>
              <w:spacing w:after="20" w:before="20"/>
              <w:jc w:val="left"/>
            </w:pPr>
            <w:r>
              <w:rPr>
                <w:sz w:val="15"/>
              </w:rPr>
              <w:t xml:space="preserve">each run</w:t>
            </w:r>
          </w:p>
        </w:tc>
      </w:tr>
      <w:tr>
        <w:tc>
          <w:tcPr>
            <w:tcW w:w="569" w:type="dxa"/>
          </w:tcPr>
          <w:p>
            <w:pPr>
              <w:pStyle w:val="Compact"/>
              <w:spacing w:after="20" w:before="20"/>
              <w:jc w:val="left"/>
            </w:pPr>
            <w:r>
              <w:rPr>
                <w:sz w:val="15"/>
              </w:rPr>
              <w:t xml:space="preserve">T-H2</w:t>
            </w:r>
          </w:p>
        </w:tc>
        <w:tc>
          <w:tcPr>
            <w:tcW w:w="852" w:type="dxa"/>
          </w:tcPr>
          <w:p>
            <w:pPr>
              <w:pStyle w:val="Compact"/>
              <w:spacing w:after="20" w:before="20"/>
              <w:jc w:val="left"/>
            </w:pPr>
            <w:r>
              <w:rPr>
                <w:sz w:val="15"/>
              </w:rPr>
              <w:t xml:space="preserve">Harness</w:t>
            </w:r>
          </w:p>
        </w:tc>
        <w:tc>
          <w:tcPr>
            <w:tcW w:w="1809" w:type="dxa"/>
          </w:tcPr>
          <w:p>
            <w:pPr>
              <w:pStyle w:val="Compact"/>
              <w:spacing w:after="20" w:before="20"/>
              <w:jc w:val="left"/>
            </w:pPr>
            <w:r>
              <w:rPr>
                <w:sz w:val="15"/>
              </w:rPr>
              <w:t xml:space="preserve">Manifest completeness</w:t>
            </w:r>
          </w:p>
        </w:tc>
        <w:tc>
          <w:tcPr>
            <w:tcW w:w="1356" w:type="dxa"/>
          </w:tcPr>
          <w:p>
            <w:pPr>
              <w:pStyle w:val="Compact"/>
              <w:spacing w:after="20" w:before="20"/>
              <w:jc w:val="left"/>
            </w:pPr>
            <w:r>
              <w:rPr>
                <w:sz w:val="15"/>
              </w:rPr>
              <w:t xml:space="preserve">required fields + hashes verify</w:t>
            </w:r>
          </w:p>
        </w:tc>
        <w:tc>
          <w:tcPr>
            <w:tcW w:w="1548" w:type="dxa"/>
          </w:tcPr>
          <w:p>
            <w:pPr>
              <w:pStyle w:val="Compact"/>
              <w:spacing w:after="20" w:before="20"/>
              <w:jc w:val="left"/>
            </w:pPr>
            <w:r>
              <w:rPr>
                <w:sz w:val="15"/>
              </w:rPr>
              <w:t xml:space="preserve">100%</w:t>
            </w:r>
          </w:p>
        </w:tc>
        <w:tc>
          <w:tcPr>
            <w:tcW w:w="1326" w:type="dxa"/>
          </w:tcPr>
          <w:p>
            <w:pPr>
              <w:pStyle w:val="Compact"/>
              <w:spacing w:after="20" w:before="20"/>
              <w:jc w:val="left"/>
            </w:pPr>
            <w:r>
              <w:rPr>
                <w:sz w:val="15"/>
              </w:rPr>
              <w:t xml:space="preserve">—</w:t>
            </w:r>
          </w:p>
        </w:tc>
        <w:tc>
          <w:tcPr>
            <w:tcW w:w="1387" w:type="dxa"/>
          </w:tcPr>
          <w:p>
            <w:pPr>
              <w:pStyle w:val="Compact"/>
              <w:spacing w:after="20" w:before="20"/>
              <w:jc w:val="left"/>
            </w:pPr>
            <w:r>
              <w:rPr>
                <w:sz w:val="15"/>
              </w:rPr>
              <w:t xml:space="preserve">validator output</w:t>
            </w:r>
          </w:p>
        </w:tc>
        <w:tc>
          <w:tcPr>
            <w:tcW w:w="942" w:type="dxa"/>
          </w:tcPr>
          <w:p>
            <w:pPr>
              <w:pStyle w:val="Compact"/>
              <w:spacing w:after="20" w:before="20"/>
              <w:jc w:val="left"/>
            </w:pPr>
            <w:r>
              <w:rPr>
                <w:sz w:val="15"/>
              </w:rPr>
              <w:t xml:space="preserve">each run</w:t>
            </w:r>
          </w:p>
        </w:tc>
      </w:tr>
      <w:tr>
        <w:tc>
          <w:tcPr>
            <w:tcW w:w="569" w:type="dxa"/>
          </w:tcPr>
          <w:p>
            <w:pPr>
              <w:pStyle w:val="Compact"/>
              <w:spacing w:after="20" w:before="20"/>
              <w:jc w:val="left"/>
            </w:pPr>
            <w:r>
              <w:rPr>
                <w:sz w:val="15"/>
              </w:rPr>
              <w:t xml:space="preserve">T-H3</w:t>
            </w:r>
          </w:p>
        </w:tc>
        <w:tc>
          <w:tcPr>
            <w:tcW w:w="852" w:type="dxa"/>
          </w:tcPr>
          <w:p>
            <w:pPr>
              <w:pStyle w:val="Compact"/>
              <w:spacing w:after="20" w:before="20"/>
              <w:jc w:val="left"/>
            </w:pPr>
            <w:r>
              <w:rPr>
                <w:sz w:val="15"/>
              </w:rPr>
              <w:t xml:space="preserve">Reproducibility</w:t>
            </w:r>
          </w:p>
        </w:tc>
        <w:tc>
          <w:tcPr>
            <w:tcW w:w="1809" w:type="dxa"/>
          </w:tcPr>
          <w:p>
            <w:pPr>
              <w:pStyle w:val="Compact"/>
              <w:spacing w:after="20" w:before="20"/>
              <w:jc w:val="left"/>
            </w:pPr>
            <w:r>
              <w:rPr>
                <w:sz w:val="15"/>
              </w:rPr>
              <w:t xml:space="preserve">Clean checkout, second machine</w:t>
            </w:r>
          </w:p>
        </w:tc>
        <w:tc>
          <w:tcPr>
            <w:tcW w:w="1356" w:type="dxa"/>
          </w:tcPr>
          <w:p>
            <w:pPr>
              <w:pStyle w:val="Compact"/>
              <w:spacing w:after="20" w:before="20"/>
              <w:jc w:val="left"/>
            </w:pPr>
            <w:r>
              <w:rPr>
                <w:sz w:val="15"/>
              </w:rPr>
              <w:t xml:space="preserve">headline numbers reproduced</w:t>
            </w:r>
          </w:p>
        </w:tc>
        <w:tc>
          <w:tcPr>
            <w:tcW w:w="1548" w:type="dxa"/>
          </w:tcPr>
          <w:p>
            <w:pPr>
              <w:pStyle w:val="Compact"/>
              <w:spacing w:after="20" w:before="20"/>
              <w:jc w:val="left"/>
            </w:pPr>
            <w:r>
              <w:rPr>
                <w:sz w:val="15"/>
              </w:rPr>
              <w:t xml:space="preserve">100% traceable (SC-9)</w:t>
            </w:r>
          </w:p>
        </w:tc>
        <w:tc>
          <w:tcPr>
            <w:tcW w:w="1326" w:type="dxa"/>
          </w:tcPr>
          <w:p>
            <w:pPr>
              <w:pStyle w:val="Compact"/>
              <w:spacing w:after="20" w:before="20"/>
              <w:jc w:val="left"/>
            </w:pPr>
            <w:r>
              <w:rPr>
                <w:sz w:val="15"/>
              </w:rPr>
              <w:t xml:space="preserve">original run</w:t>
            </w:r>
          </w:p>
        </w:tc>
        <w:tc>
          <w:tcPr>
            <w:tcW w:w="1387" w:type="dxa"/>
          </w:tcPr>
          <w:p>
            <w:pPr>
              <w:pStyle w:val="Compact"/>
              <w:spacing w:after="20" w:before="20"/>
              <w:jc w:val="left"/>
            </w:pPr>
            <w:r>
              <w:rPr>
                <w:sz w:val="15"/>
              </w:rPr>
              <w:t xml:space="preserve">rehearsal log</w:t>
            </w:r>
          </w:p>
        </w:tc>
        <w:tc>
          <w:tcPr>
            <w:tcW w:w="942" w:type="dxa"/>
          </w:tcPr>
          <w:p>
            <w:pPr>
              <w:pStyle w:val="Compact"/>
              <w:spacing w:after="20" w:before="20"/>
              <w:jc w:val="left"/>
            </w:pPr>
            <w:r>
              <w:rPr>
                <w:sz w:val="15"/>
              </w:rPr>
              <w:t xml:space="preserve">Week 13</w:t>
            </w:r>
          </w:p>
        </w:tc>
      </w:tr>
      <w:tr>
        <w:tc>
          <w:tcPr>
            <w:tcW w:w="569" w:type="dxa"/>
          </w:tcPr>
          <w:p>
            <w:pPr>
              <w:pStyle w:val="Compact"/>
              <w:spacing w:after="20" w:before="20"/>
              <w:jc w:val="left"/>
            </w:pPr>
            <w:r>
              <w:rPr>
                <w:sz w:val="15"/>
              </w:rPr>
              <w:t xml:space="preserve">T-E1</w:t>
            </w:r>
          </w:p>
        </w:tc>
        <w:tc>
          <w:tcPr>
            <w:tcW w:w="852" w:type="dxa"/>
          </w:tcPr>
          <w:p>
            <w:pPr>
              <w:pStyle w:val="Compact"/>
              <w:spacing w:after="20" w:before="20"/>
              <w:jc w:val="left"/>
            </w:pPr>
            <w:r>
              <w:rPr>
                <w:sz w:val="15"/>
              </w:rPr>
              <w:t xml:space="preserve">Performance</w:t>
            </w:r>
          </w:p>
        </w:tc>
        <w:tc>
          <w:tcPr>
            <w:tcW w:w="1809" w:type="dxa"/>
          </w:tcPr>
          <w:p>
            <w:pPr>
              <w:pStyle w:val="Compact"/>
              <w:spacing w:after="20" w:before="20"/>
              <w:jc w:val="left"/>
            </w:pPr>
            <w:r>
              <w:rPr>
                <w:sz w:val="15"/>
              </w:rPr>
              <w:t xml:space="preserve">Single-store latency, W1–W4</w:t>
            </w:r>
          </w:p>
        </w:tc>
        <w:tc>
          <w:tcPr>
            <w:tcW w:w="1356" w:type="dxa"/>
          </w:tcPr>
          <w:p>
            <w:pPr>
              <w:pStyle w:val="Compact"/>
              <w:spacing w:after="20" w:before="20"/>
              <w:jc w:val="left"/>
            </w:pPr>
            <w:r>
              <w:rPr>
                <w:sz w:val="15"/>
              </w:rPr>
              <w:t xml:space="preserve">median ratio A1 / A2</w:t>
            </w:r>
          </w:p>
        </w:tc>
        <w:tc>
          <w:tcPr>
            <w:tcW w:w="1548" w:type="dxa"/>
          </w:tcPr>
          <w:p>
            <w:pPr>
              <w:pStyle w:val="Compact"/>
              <w:spacing w:after="20" w:before="20"/>
              <w:jc w:val="left"/>
            </w:pPr>
            <w:r>
              <w:rPr>
                <w:sz w:val="15"/>
              </w:rPr>
              <w:t xml:space="preserve">≤ 3× (SC-4)</w:t>
            </w:r>
          </w:p>
        </w:tc>
        <w:tc>
          <w:tcPr>
            <w:tcW w:w="1326" w:type="dxa"/>
          </w:tcPr>
          <w:p>
            <w:pPr>
              <w:pStyle w:val="Compact"/>
              <w:spacing w:after="20" w:before="20"/>
              <w:jc w:val="left"/>
            </w:pPr>
            <w:r>
              <w:rPr>
                <w:sz w:val="15"/>
              </w:rPr>
              <w:t xml:space="preserve">A2 consolidated</w:t>
            </w:r>
          </w:p>
        </w:tc>
        <w:tc>
          <w:tcPr>
            <w:tcW w:w="1387" w:type="dxa"/>
          </w:tcPr>
          <w:p>
            <w:pPr>
              <w:pStyle w:val="Compact"/>
              <w:spacing w:after="20" w:before="20"/>
              <w:jc w:val="left"/>
            </w:pPr>
            <w:r>
              <w:rPr>
                <w:rStyle w:val="VerbatimChar"/>
                <w:sz w:val="15"/>
              </w:rPr>
              <w:t xml:space="preserve">timings.csv</w:t>
            </w:r>
            <w:r>
              <w:rPr>
                <w:sz w:val="15"/>
              </w:rPr>
              <w:t xml:space="preserve">, figure</w:t>
            </w:r>
          </w:p>
        </w:tc>
        <w:tc>
          <w:tcPr>
            <w:tcW w:w="942" w:type="dxa"/>
          </w:tcPr>
          <w:p>
            <w:pPr>
              <w:pStyle w:val="Compact"/>
              <w:spacing w:after="20" w:before="20"/>
              <w:jc w:val="left"/>
            </w:pPr>
            <w:r>
              <w:rPr>
                <w:sz w:val="15"/>
              </w:rPr>
              <w:t xml:space="preserve">M8</w:t>
            </w:r>
          </w:p>
        </w:tc>
      </w:tr>
      <w:tr>
        <w:tc>
          <w:tcPr>
            <w:tcW w:w="569" w:type="dxa"/>
          </w:tcPr>
          <w:p>
            <w:pPr>
              <w:pStyle w:val="Compact"/>
              <w:spacing w:after="20" w:before="20"/>
              <w:jc w:val="left"/>
            </w:pPr>
            <w:r>
              <w:rPr>
                <w:sz w:val="15"/>
              </w:rPr>
              <w:t xml:space="preserve">T-E2</w:t>
            </w:r>
          </w:p>
        </w:tc>
        <w:tc>
          <w:tcPr>
            <w:tcW w:w="852" w:type="dxa"/>
          </w:tcPr>
          <w:p>
            <w:pPr>
              <w:pStyle w:val="Compact"/>
              <w:spacing w:after="20" w:before="20"/>
              <w:jc w:val="left"/>
            </w:pPr>
            <w:r>
              <w:rPr>
                <w:sz w:val="15"/>
              </w:rPr>
              <w:t xml:space="preserve">Performance</w:t>
            </w:r>
          </w:p>
        </w:tc>
        <w:tc>
          <w:tcPr>
            <w:tcW w:w="1809" w:type="dxa"/>
          </w:tcPr>
          <w:p>
            <w:pPr>
              <w:pStyle w:val="Compact"/>
              <w:spacing w:after="20" w:before="20"/>
              <w:jc w:val="left"/>
            </w:pPr>
            <w:r>
              <w:rPr>
                <w:sz w:val="15"/>
              </w:rPr>
              <w:t xml:space="preserve">Pushdown bytes on selective queries (t ≤ 1,000, i.e. ≤ 10%)</w:t>
            </w:r>
          </w:p>
        </w:tc>
        <w:tc>
          <w:tcPr>
            <w:tcW w:w="1356" w:type="dxa"/>
          </w:tcPr>
          <w:p>
            <w:pPr>
              <w:pStyle w:val="Compact"/>
              <w:spacing w:after="20" w:before="20"/>
              <w:jc w:val="left"/>
            </w:pPr>
            <w:r>
              <w:rPr>
                <w:sz w:val="15"/>
              </w:rPr>
              <w:t xml:space="preserve">bytes reduction A1 vs A4</w:t>
            </w:r>
          </w:p>
        </w:tc>
        <w:tc>
          <w:tcPr>
            <w:tcW w:w="1548" w:type="dxa"/>
          </w:tcPr>
          <w:p>
            <w:pPr>
              <w:pStyle w:val="Compact"/>
              <w:spacing w:after="20" w:before="20"/>
              <w:jc w:val="left"/>
            </w:pPr>
            <w:r>
              <w:rPr>
                <w:sz w:val="15"/>
              </w:rPr>
              <w:t xml:space="preserve">≥ 70% (SC-3)</w:t>
            </w:r>
          </w:p>
        </w:tc>
        <w:tc>
          <w:tcPr>
            <w:tcW w:w="1326" w:type="dxa"/>
          </w:tcPr>
          <w:p>
            <w:pPr>
              <w:pStyle w:val="Compact"/>
              <w:spacing w:after="20" w:before="20"/>
              <w:jc w:val="left"/>
            </w:pPr>
            <w:r>
              <w:rPr>
                <w:sz w:val="15"/>
              </w:rPr>
              <w:t xml:space="preserve">A4 pushdown off</w:t>
            </w:r>
          </w:p>
        </w:tc>
        <w:tc>
          <w:tcPr>
            <w:tcW w:w="1387" w:type="dxa"/>
          </w:tcPr>
          <w:p>
            <w:pPr>
              <w:pStyle w:val="Compact"/>
              <w:spacing w:after="20" w:before="20"/>
              <w:jc w:val="left"/>
            </w:pPr>
            <w:r>
              <w:rPr>
                <w:rStyle w:val="VerbatimChar"/>
                <w:sz w:val="15"/>
              </w:rPr>
              <w:t xml:space="preserve">bytes.csv</w:t>
            </w:r>
            <w:r>
              <w:rPr>
                <w:sz w:val="15"/>
              </w:rPr>
              <w:t xml:space="preserve">, table</w:t>
            </w:r>
          </w:p>
        </w:tc>
        <w:tc>
          <w:tcPr>
            <w:tcW w:w="942" w:type="dxa"/>
          </w:tcPr>
          <w:p>
            <w:pPr>
              <w:pStyle w:val="Compact"/>
              <w:spacing w:after="20" w:before="20"/>
              <w:jc w:val="left"/>
            </w:pPr>
            <w:r>
              <w:rPr>
                <w:sz w:val="15"/>
              </w:rPr>
              <w:t xml:space="preserve">M6, M8</w:t>
            </w:r>
          </w:p>
        </w:tc>
      </w:tr>
      <w:tr>
        <w:tc>
          <w:tcPr>
            <w:tcW w:w="569" w:type="dxa"/>
          </w:tcPr>
          <w:p>
            <w:pPr>
              <w:pStyle w:val="Compact"/>
              <w:spacing w:after="20" w:before="20"/>
              <w:jc w:val="left"/>
            </w:pPr>
            <w:r>
              <w:rPr>
                <w:sz w:val="15"/>
              </w:rPr>
              <w:t xml:space="preserve">T-E3</w:t>
            </w:r>
          </w:p>
        </w:tc>
        <w:tc>
          <w:tcPr>
            <w:tcW w:w="852" w:type="dxa"/>
          </w:tcPr>
          <w:p>
            <w:pPr>
              <w:pStyle w:val="Compact"/>
              <w:spacing w:after="20" w:before="20"/>
              <w:jc w:val="left"/>
            </w:pPr>
            <w:r>
              <w:rPr>
                <w:sz w:val="15"/>
              </w:rPr>
              <w:t xml:space="preserve">Performance</w:t>
            </w:r>
          </w:p>
        </w:tc>
        <w:tc>
          <w:tcPr>
            <w:tcW w:w="1809" w:type="dxa"/>
          </w:tcPr>
          <w:p>
            <w:pPr>
              <w:pStyle w:val="Compact"/>
              <w:spacing w:after="20" w:before="20"/>
              <w:jc w:val="left"/>
            </w:pPr>
            <w:r>
              <w:rPr>
                <w:sz w:val="15"/>
              </w:rPr>
              <w:t xml:space="preserve">Crossover on W5 over the nine-point sweep</w:t>
            </w:r>
          </w:p>
        </w:tc>
        <w:tc>
          <w:tcPr>
            <w:tcW w:w="1356" w:type="dxa"/>
          </w:tcPr>
          <w:p>
            <w:pPr>
              <w:pStyle w:val="Compact"/>
              <w:spacing w:after="20" w:before="20"/>
              <w:jc w:val="left"/>
            </w:pPr>
            <w:r>
              <w:rPr>
                <w:sz w:val="15"/>
              </w:rPr>
              <w:t xml:space="preserve">k* with IQR, or no-crossover finding</w:t>
            </w:r>
          </w:p>
        </w:tc>
        <w:tc>
          <w:tcPr>
            <w:tcW w:w="1548" w:type="dxa"/>
          </w:tcPr>
          <w:p>
            <w:pPr>
              <w:pStyle w:val="Compact"/>
              <w:spacing w:after="20" w:before="20"/>
              <w:jc w:val="left"/>
            </w:pPr>
            <w:r>
              <w:rPr>
                <w:sz w:val="15"/>
              </w:rPr>
              <w:t xml:space="preserve">reported either way (SC-5)</w:t>
            </w:r>
          </w:p>
        </w:tc>
        <w:tc>
          <w:tcPr>
            <w:tcW w:w="1326" w:type="dxa"/>
          </w:tcPr>
          <w:p>
            <w:pPr>
              <w:pStyle w:val="Compact"/>
              <w:spacing w:after="20" w:before="20"/>
              <w:jc w:val="left"/>
            </w:pPr>
            <w:r>
              <w:rPr>
                <w:sz w:val="15"/>
              </w:rPr>
              <w:t xml:space="preserve">A2; A3 and A4 as context</w:t>
            </w:r>
          </w:p>
        </w:tc>
        <w:tc>
          <w:tcPr>
            <w:tcW w:w="1387" w:type="dxa"/>
          </w:tcPr>
          <w:p>
            <w:pPr>
              <w:pStyle w:val="Compact"/>
              <w:spacing w:after="20" w:before="20"/>
              <w:jc w:val="left"/>
            </w:pPr>
            <w:r>
              <w:rPr>
                <w:sz w:val="15"/>
              </w:rPr>
              <w:t xml:space="preserve">crossover figure + estimator output</w:t>
            </w:r>
          </w:p>
        </w:tc>
        <w:tc>
          <w:tcPr>
            <w:tcW w:w="942" w:type="dxa"/>
          </w:tcPr>
          <w:p>
            <w:pPr>
              <w:pStyle w:val="Compact"/>
              <w:spacing w:after="20" w:before="20"/>
              <w:jc w:val="left"/>
            </w:pPr>
            <w:r>
              <w:rPr>
                <w:sz w:val="15"/>
              </w:rPr>
              <w:t xml:space="preserve">M8</w:t>
            </w:r>
          </w:p>
        </w:tc>
      </w:tr>
      <w:tr>
        <w:tc>
          <w:tcPr>
            <w:tcW w:w="569" w:type="dxa"/>
          </w:tcPr>
          <w:p>
            <w:pPr>
              <w:pStyle w:val="Compact"/>
              <w:spacing w:after="20" w:before="20"/>
              <w:jc w:val="left"/>
            </w:pPr>
            <w:r>
              <w:rPr>
                <w:sz w:val="15"/>
              </w:rPr>
              <w:t xml:space="preserve">T-E4</w:t>
            </w:r>
          </w:p>
        </w:tc>
        <w:tc>
          <w:tcPr>
            <w:tcW w:w="852" w:type="dxa"/>
          </w:tcPr>
          <w:p>
            <w:pPr>
              <w:pStyle w:val="Compact"/>
              <w:spacing w:after="20" w:before="20"/>
              <w:jc w:val="left"/>
            </w:pPr>
            <w:r>
              <w:rPr>
                <w:sz w:val="15"/>
              </w:rPr>
              <w:t xml:space="preserve">Design study</w:t>
            </w:r>
          </w:p>
        </w:tc>
        <w:tc>
          <w:tcPr>
            <w:tcW w:w="1809" w:type="dxa"/>
          </w:tcPr>
          <w:p>
            <w:pPr>
              <w:pStyle w:val="Compact"/>
              <w:spacing w:after="20" w:before="20"/>
              <w:jc w:val="left"/>
            </w:pPr>
            <w:r>
              <w:rPr>
                <w:sz w:val="15"/>
              </w:rPr>
              <w:t xml:space="preserve">Add one backend-resident type with one cross-store relationship</w:t>
            </w:r>
          </w:p>
        </w:tc>
        <w:tc>
          <w:tcPr>
            <w:tcW w:w="1356" w:type="dxa"/>
          </w:tcPr>
          <w:p>
            <w:pPr>
              <w:pStyle w:val="Compact"/>
              <w:spacing w:after="20" w:before="20"/>
              <w:jc w:val="left"/>
            </w:pPr>
            <w:r>
              <w:rPr>
                <w:sz w:val="15"/>
              </w:rPr>
              <w:t xml:space="preserve">files, config lines, concepts</w:t>
            </w:r>
          </w:p>
        </w:tc>
        <w:tc>
          <w:tcPr>
            <w:tcW w:w="1548" w:type="dxa"/>
          </w:tcPr>
          <w:p>
            <w:pPr>
              <w:pStyle w:val="Compact"/>
              <w:spacing w:after="20" w:before="20"/>
              <w:jc w:val="left"/>
            </w:pPr>
            <w:r>
              <w:rPr>
                <w:sz w:val="15"/>
              </w:rPr>
              <w:t xml:space="preserve">≥ 40% fewer files vs Hasura DDN (SC-6), raw counts both ways</w:t>
            </w:r>
          </w:p>
        </w:tc>
        <w:tc>
          <w:tcPr>
            <w:tcW w:w="1326" w:type="dxa"/>
          </w:tcPr>
          <w:p>
            <w:pPr>
              <w:pStyle w:val="Compact"/>
              <w:spacing w:after="20" w:before="20"/>
              <w:jc w:val="left"/>
            </w:pPr>
            <w:r>
              <w:rPr>
                <w:sz w:val="15"/>
              </w:rPr>
              <w:t xml:space="preserve">Hasura DDN, or GraphQL Mesh if S-1 fails</w:t>
            </w:r>
          </w:p>
        </w:tc>
        <w:tc>
          <w:tcPr>
            <w:tcW w:w="1387" w:type="dxa"/>
          </w:tcPr>
          <w:p>
            <w:pPr>
              <w:pStyle w:val="Compact"/>
              <w:spacing w:after="20" w:before="20"/>
              <w:jc w:val="left"/>
            </w:pPr>
            <w:r>
              <w:rPr>
                <w:rStyle w:val="VerbatimChar"/>
                <w:sz w:val="15"/>
              </w:rPr>
              <w:t xml:space="preserve">eval/complexity/</w:t>
            </w:r>
          </w:p>
        </w:tc>
        <w:tc>
          <w:tcPr>
            <w:tcW w:w="942" w:type="dxa"/>
          </w:tcPr>
          <w:p>
            <w:pPr>
              <w:pStyle w:val="Compact"/>
              <w:spacing w:after="20" w:before="20"/>
              <w:jc w:val="left"/>
            </w:pPr>
            <w:r>
              <w:rPr>
                <w:sz w:val="15"/>
              </w:rPr>
              <w:t xml:space="preserve">Week 11</w:t>
            </w:r>
          </w:p>
        </w:tc>
      </w:tr>
    </w:tbl>
    <w:p>
      <w:pPr>
        <w:pStyle w:val="BodyText"/>
      </w:pPr>
      <w:r>
        <w:t xml:space="preserve">Quality gates:</w:t>
      </w:r>
      <w:r>
        <w:t xml:space="preserve"> </w:t>
      </w:r>
      <w:r>
        <w:rPr>
          <w:rStyle w:val="VerbatimChar"/>
        </w:rPr>
        <w:t xml:space="preserve">pytest --cov</w:t>
      </w:r>
      <w:r>
        <w:t xml:space="preserve"> </w:t>
      </w:r>
      <w:r>
        <w:t xml:space="preserve">≥ 80% line coverage on</w:t>
      </w:r>
      <w:r>
        <w:t xml:space="preserve"> </w:t>
      </w:r>
      <w:r>
        <w:rPr>
          <w:rStyle w:val="VerbatimChar"/>
        </w:rPr>
        <w:t xml:space="preserve">engine/schema</w:t>
      </w:r>
      <w:r>
        <w:t xml:space="preserve">,</w:t>
      </w:r>
      <w:r>
        <w:t xml:space="preserve"> </w:t>
      </w:r>
      <w:r>
        <w:rPr>
          <w:rStyle w:val="VerbatimChar"/>
        </w:rPr>
        <w:t xml:space="preserve">engine/plan</w:t>
      </w:r>
      <w:r>
        <w:t xml:space="preserve">,</w:t>
      </w:r>
      <w:r>
        <w:t xml:space="preserve"> </w:t>
      </w:r>
      <w:r>
        <w:rPr>
          <w:rStyle w:val="VerbatimChar"/>
        </w:rPr>
        <w:t xml:space="preserve">engine/rewrite</w:t>
      </w:r>
      <w:r>
        <w:t xml:space="preserve"> </w:t>
      </w:r>
      <w:r>
        <w:t xml:space="preserve">(SC-8); zero open severity-1 issues at freeze and ≤ 5 severity-2 (SC-7).</w:t>
      </w:r>
    </w:p>
    <w:bookmarkEnd w:id="65"/>
    <w:bookmarkStart w:id="66" w:name="workload"/>
    <w:p>
      <w:pPr>
        <w:pStyle w:val="Heading2"/>
      </w:pPr>
      <w:r>
        <w:t xml:space="preserve">10.2 Workload</w:t>
      </w:r>
    </w:p>
    <w:p>
      <w:pPr>
        <w:pStyle w:val="FirstParagraph"/>
      </w:pPr>
      <w:r>
        <w:t xml:space="preserve">Ten query templates, each with a hand-written reference SQL query reviewed before the engine is run against it.</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431"/>
        <w:gridCol w:w="4068"/>
        <w:gridCol w:w="1831"/>
        <w:gridCol w:w="2460"/>
      </w:tblGrid>
      <w:tr>
        <w:trPr>
          <w:tblHeader w:val="true"/>
          <w:tblHeader w:val="true"/>
        </w:trPr>
        <w:tc>
          <w:tcPr>
            <w:tcW w:w="1431" w:type="dxa"/>
            <w:shd w:val="clear" w:color="auto" w:fill="DCE6F2"/>
          </w:tcPr>
          <w:p>
            <w:pPr>
              <w:pStyle w:val="Compact"/>
              <w:spacing w:after="20" w:before="20"/>
              <w:jc w:val="left"/>
            </w:pPr>
            <w:r>
              <w:rPr>
                <w:b/>
                <w:sz w:val="18"/>
              </w:rPr>
              <w:t xml:space="preserve">ID</w:t>
            </w:r>
          </w:p>
        </w:tc>
        <w:tc>
          <w:tcPr>
            <w:tcW w:w="4068" w:type="dxa"/>
            <w:shd w:val="clear" w:color="auto" w:fill="DCE6F2"/>
          </w:tcPr>
          <w:p>
            <w:pPr>
              <w:pStyle w:val="Compact"/>
              <w:spacing w:after="20" w:before="20"/>
              <w:jc w:val="left"/>
            </w:pPr>
            <w:r>
              <w:rPr>
                <w:b/>
                <w:sz w:val="18"/>
              </w:rPr>
              <w:t xml:space="preserve">Shape</w:t>
            </w:r>
          </w:p>
        </w:tc>
        <w:tc>
          <w:tcPr>
            <w:tcW w:w="1831" w:type="dxa"/>
            <w:shd w:val="clear" w:color="auto" w:fill="DCE6F2"/>
          </w:tcPr>
          <w:p>
            <w:pPr>
              <w:pStyle w:val="Compact"/>
              <w:spacing w:after="20" w:before="20"/>
              <w:jc w:val="left"/>
            </w:pPr>
            <w:r>
              <w:rPr>
                <w:b/>
                <w:sz w:val="18"/>
              </w:rPr>
              <w:t xml:space="preserve">Stores</w:t>
            </w:r>
          </w:p>
        </w:tc>
        <w:tc>
          <w:tcPr>
            <w:tcW w:w="2460" w:type="dxa"/>
            <w:shd w:val="clear" w:color="auto" w:fill="DCE6F2"/>
          </w:tcPr>
          <w:p>
            <w:pPr>
              <w:pStyle w:val="Compact"/>
              <w:spacing w:after="20" w:before="20"/>
              <w:jc w:val="left"/>
            </w:pPr>
            <w:r>
              <w:rPr>
                <w:b/>
                <w:sz w:val="18"/>
              </w:rPr>
              <w:t xml:space="preserve">Serves</w:t>
            </w:r>
          </w:p>
        </w:tc>
      </w:tr>
      <w:tr>
        <w:tc>
          <w:tcPr>
            <w:tcW w:w="1431" w:type="dxa"/>
          </w:tcPr>
          <w:p>
            <w:pPr>
              <w:pStyle w:val="Compact"/>
              <w:spacing w:after="20" w:before="20"/>
              <w:jc w:val="left"/>
            </w:pPr>
            <w:r>
              <w:rPr>
                <w:sz w:val="18"/>
              </w:rPr>
              <w:t xml:space="preserve">W1</w:t>
            </w:r>
          </w:p>
        </w:tc>
        <w:tc>
          <w:tcPr>
            <w:tcW w:w="4068" w:type="dxa"/>
          </w:tcPr>
          <w:p>
            <w:pPr>
              <w:pStyle w:val="Compact"/>
              <w:spacing w:after="20" w:before="20"/>
              <w:jc w:val="left"/>
            </w:pPr>
            <w:r>
              <w:rPr>
                <w:sz w:val="18"/>
              </w:rPr>
              <w:t xml:space="preserve">Filter + sort + limit on Customer</w:t>
            </w:r>
          </w:p>
        </w:tc>
        <w:tc>
          <w:tcPr>
            <w:tcW w:w="1831" w:type="dxa"/>
          </w:tcPr>
          <w:p>
            <w:pPr>
              <w:pStyle w:val="Compact"/>
              <w:spacing w:after="20" w:before="20"/>
              <w:jc w:val="left"/>
            </w:pPr>
            <w:r>
              <w:rPr>
                <w:sz w:val="18"/>
              </w:rPr>
              <w:t xml:space="preserve">PG</w:t>
            </w:r>
          </w:p>
        </w:tc>
        <w:tc>
          <w:tcPr>
            <w:tcW w:w="2460" w:type="dxa"/>
          </w:tcPr>
          <w:p>
            <w:pPr>
              <w:pStyle w:val="Compact"/>
              <w:spacing w:after="20" w:before="20"/>
              <w:jc w:val="left"/>
            </w:pPr>
            <w:r>
              <w:rPr>
                <w:sz w:val="18"/>
              </w:rPr>
              <w:t xml:space="preserve">T-E1</w:t>
            </w:r>
          </w:p>
        </w:tc>
      </w:tr>
      <w:tr>
        <w:tc>
          <w:tcPr>
            <w:tcW w:w="1431" w:type="dxa"/>
          </w:tcPr>
          <w:p>
            <w:pPr>
              <w:pStyle w:val="Compact"/>
              <w:spacing w:after="20" w:before="20"/>
              <w:jc w:val="left"/>
            </w:pPr>
            <w:r>
              <w:rPr>
                <w:sz w:val="18"/>
              </w:rPr>
              <w:t xml:space="preserve">W2</w:t>
            </w:r>
          </w:p>
        </w:tc>
        <w:tc>
          <w:tcPr>
            <w:tcW w:w="4068" w:type="dxa"/>
          </w:tcPr>
          <w:p>
            <w:pPr>
              <w:pStyle w:val="Compact"/>
              <w:spacing w:after="20" w:before="20"/>
              <w:jc w:val="left"/>
            </w:pPr>
            <w:r>
              <w:rPr>
                <w:sz w:val="18"/>
              </w:rPr>
              <w:t xml:space="preserve">Filter on Order totals and dates</w:t>
            </w:r>
          </w:p>
        </w:tc>
        <w:tc>
          <w:tcPr>
            <w:tcW w:w="1831" w:type="dxa"/>
          </w:tcPr>
          <w:p>
            <w:pPr>
              <w:pStyle w:val="Compact"/>
              <w:spacing w:after="20" w:before="20"/>
              <w:jc w:val="left"/>
            </w:pPr>
            <w:r>
              <w:rPr>
                <w:sz w:val="18"/>
              </w:rPr>
              <w:t xml:space="preserve">Mongo</w:t>
            </w:r>
          </w:p>
        </w:tc>
        <w:tc>
          <w:tcPr>
            <w:tcW w:w="2460" w:type="dxa"/>
          </w:tcPr>
          <w:p>
            <w:pPr>
              <w:pStyle w:val="Compact"/>
              <w:spacing w:after="20" w:before="20"/>
              <w:jc w:val="left"/>
            </w:pPr>
            <w:r>
              <w:rPr>
                <w:sz w:val="18"/>
              </w:rPr>
              <w:t xml:space="preserve">T-E1</w:t>
            </w:r>
          </w:p>
        </w:tc>
      </w:tr>
      <w:tr>
        <w:tc>
          <w:tcPr>
            <w:tcW w:w="1431" w:type="dxa"/>
          </w:tcPr>
          <w:p>
            <w:pPr>
              <w:pStyle w:val="Compact"/>
              <w:spacing w:after="20" w:before="20"/>
              <w:jc w:val="left"/>
            </w:pPr>
            <w:r>
              <w:rPr>
                <w:sz w:val="18"/>
              </w:rPr>
              <w:t xml:space="preserve">W3</w:t>
            </w:r>
          </w:p>
        </w:tc>
        <w:tc>
          <w:tcPr>
            <w:tcW w:w="4068" w:type="dxa"/>
          </w:tcPr>
          <w:p>
            <w:pPr>
              <w:pStyle w:val="Compact"/>
              <w:spacing w:after="20" w:before="20"/>
              <w:jc w:val="left"/>
            </w:pPr>
            <w:r>
              <w:rPr>
                <w:sz w:val="18"/>
              </w:rPr>
              <w:t xml:space="preserve">Aggregate Order totals grouped by customer</w:t>
            </w:r>
          </w:p>
        </w:tc>
        <w:tc>
          <w:tcPr>
            <w:tcW w:w="1831" w:type="dxa"/>
          </w:tcPr>
          <w:p>
            <w:pPr>
              <w:pStyle w:val="Compact"/>
              <w:spacing w:after="20" w:before="20"/>
              <w:jc w:val="left"/>
            </w:pPr>
            <w:r>
              <w:rPr>
                <w:sz w:val="18"/>
              </w:rPr>
              <w:t xml:space="preserve">Mongo</w:t>
            </w:r>
          </w:p>
        </w:tc>
        <w:tc>
          <w:tcPr>
            <w:tcW w:w="2460" w:type="dxa"/>
          </w:tcPr>
          <w:p>
            <w:pPr>
              <w:pStyle w:val="Compact"/>
              <w:spacing w:after="20" w:before="20"/>
              <w:jc w:val="left"/>
            </w:pPr>
            <w:r>
              <w:rPr>
                <w:sz w:val="18"/>
              </w:rPr>
              <w:t xml:space="preserve">T-E1, R1b</w:t>
            </w:r>
          </w:p>
        </w:tc>
      </w:tr>
      <w:tr>
        <w:tc>
          <w:tcPr>
            <w:tcW w:w="1431" w:type="dxa"/>
          </w:tcPr>
          <w:p>
            <w:pPr>
              <w:pStyle w:val="Compact"/>
              <w:spacing w:after="20" w:before="20"/>
              <w:jc w:val="left"/>
            </w:pPr>
            <w:r>
              <w:rPr>
                <w:sz w:val="18"/>
              </w:rPr>
              <w:t xml:space="preserve">W4</w:t>
            </w:r>
          </w:p>
        </w:tc>
        <w:tc>
          <w:tcPr>
            <w:tcW w:w="4068" w:type="dxa"/>
          </w:tcPr>
          <w:p>
            <w:pPr>
              <w:pStyle w:val="Compact"/>
              <w:spacing w:after="20" w:before="20"/>
              <w:jc w:val="left"/>
            </w:pPr>
            <w:r>
              <w:rPr>
                <w:sz w:val="18"/>
              </w:rPr>
              <w:t xml:space="preserve">Aggregate Product prices grouped by vendor</w:t>
            </w:r>
          </w:p>
        </w:tc>
        <w:tc>
          <w:tcPr>
            <w:tcW w:w="1831" w:type="dxa"/>
          </w:tcPr>
          <w:p>
            <w:pPr>
              <w:pStyle w:val="Compact"/>
              <w:spacing w:after="20" w:before="20"/>
              <w:jc w:val="left"/>
            </w:pPr>
            <w:r>
              <w:rPr>
                <w:sz w:val="18"/>
              </w:rPr>
              <w:t xml:space="preserve">PG</w:t>
            </w:r>
          </w:p>
        </w:tc>
        <w:tc>
          <w:tcPr>
            <w:tcW w:w="2460" w:type="dxa"/>
          </w:tcPr>
          <w:p>
            <w:pPr>
              <w:pStyle w:val="Compact"/>
              <w:spacing w:after="20" w:before="20"/>
              <w:jc w:val="left"/>
            </w:pPr>
            <w:r>
              <w:rPr>
                <w:sz w:val="18"/>
              </w:rPr>
              <w:t xml:space="preserve">T-E1, R1b</w:t>
            </w:r>
          </w:p>
        </w:tc>
      </w:tr>
      <w:tr>
        <w:tc>
          <w:tcPr>
            <w:tcW w:w="1431" w:type="dxa"/>
          </w:tcPr>
          <w:p>
            <w:pPr>
              <w:pStyle w:val="Compact"/>
              <w:spacing w:after="20" w:before="20"/>
              <w:jc w:val="left"/>
            </w:pPr>
            <w:r>
              <w:rPr>
                <w:sz w:val="18"/>
              </w:rPr>
              <w:t xml:space="preserve">W5</w:t>
            </w:r>
          </w:p>
        </w:tc>
        <w:tc>
          <w:tcPr>
            <w:tcW w:w="4068" w:type="dxa"/>
          </w:tcPr>
          <w:p>
            <w:pPr>
              <w:pStyle w:val="Compact"/>
              <w:spacing w:after="20" w:before="20"/>
              <w:jc w:val="left"/>
            </w:pPr>
            <w:r>
              <w:rPr>
                <w:sz w:val="18"/>
              </w:rPr>
              <w:t xml:space="preserve">Customer (filtered by</w:t>
            </w:r>
            <w:r>
              <w:rPr>
                <w:sz w:val="18"/>
              </w:rPr>
              <w:t xml:space="preserve"> </w:t>
            </w:r>
            <w:r>
              <w:rPr>
                <w:rStyle w:val="VerbatimChar"/>
                <w:sz w:val="18"/>
              </w:rPr>
              <w:t xml:space="preserve">sel &lt; t</w:t>
            </w:r>
            <w:r>
              <w:rPr>
                <w:sz w:val="18"/>
              </w:rPr>
              <w:t xml:space="preserve">) → orders</w:t>
            </w:r>
          </w:p>
        </w:tc>
        <w:tc>
          <w:tcPr>
            <w:tcW w:w="1831" w:type="dxa"/>
          </w:tcPr>
          <w:p>
            <w:pPr>
              <w:pStyle w:val="Compact"/>
              <w:spacing w:after="20" w:before="20"/>
              <w:jc w:val="left"/>
            </w:pPr>
            <w:r>
              <w:rPr>
                <w:sz w:val="18"/>
              </w:rPr>
              <w:t xml:space="preserve">PG → Mongo</w:t>
            </w:r>
          </w:p>
        </w:tc>
        <w:tc>
          <w:tcPr>
            <w:tcW w:w="2460" w:type="dxa"/>
          </w:tcPr>
          <w:p>
            <w:pPr>
              <w:pStyle w:val="Compact"/>
              <w:spacing w:after="20" w:before="20"/>
              <w:jc w:val="left"/>
            </w:pPr>
            <w:r>
              <w:rPr>
                <w:sz w:val="18"/>
              </w:rPr>
              <w:t xml:space="preserve">T-E2, T-E3 (the sweep)</w:t>
            </w:r>
          </w:p>
        </w:tc>
      </w:tr>
      <w:tr>
        <w:tc>
          <w:tcPr>
            <w:tcW w:w="1431" w:type="dxa"/>
          </w:tcPr>
          <w:p>
            <w:pPr>
              <w:pStyle w:val="Compact"/>
              <w:spacing w:after="20" w:before="20"/>
              <w:jc w:val="left"/>
            </w:pPr>
            <w:r>
              <w:rPr>
                <w:sz w:val="18"/>
              </w:rPr>
              <w:t xml:space="preserve">W6</w:t>
            </w:r>
          </w:p>
        </w:tc>
        <w:tc>
          <w:tcPr>
            <w:tcW w:w="4068" w:type="dxa"/>
          </w:tcPr>
          <w:p>
            <w:pPr>
              <w:pStyle w:val="Compact"/>
              <w:spacing w:after="20" w:before="20"/>
              <w:jc w:val="left"/>
            </w:pPr>
            <w:r>
              <w:rPr>
                <w:sz w:val="18"/>
              </w:rPr>
              <w:t xml:space="preserve">Order (filtered) → customer, to-one</w:t>
            </w:r>
          </w:p>
        </w:tc>
        <w:tc>
          <w:tcPr>
            <w:tcW w:w="1831" w:type="dxa"/>
          </w:tcPr>
          <w:p>
            <w:pPr>
              <w:pStyle w:val="Compact"/>
              <w:spacing w:after="20" w:before="20"/>
              <w:jc w:val="left"/>
            </w:pPr>
            <w:r>
              <w:rPr>
                <w:sz w:val="18"/>
              </w:rPr>
              <w:t xml:space="preserve">Mongo → PG</w:t>
            </w:r>
          </w:p>
        </w:tc>
        <w:tc>
          <w:tcPr>
            <w:tcW w:w="2460" w:type="dxa"/>
          </w:tcPr>
          <w:p>
            <w:pPr>
              <w:pStyle w:val="Compact"/>
              <w:spacing w:after="20" w:before="20"/>
              <w:jc w:val="left"/>
            </w:pPr>
            <w:r>
              <w:rPr>
                <w:sz w:val="18"/>
              </w:rPr>
              <w:t xml:space="preserve">T-E2</w:t>
            </w:r>
          </w:p>
        </w:tc>
      </w:tr>
      <w:tr>
        <w:tc>
          <w:tcPr>
            <w:tcW w:w="1431" w:type="dxa"/>
          </w:tcPr>
          <w:p>
            <w:pPr>
              <w:pStyle w:val="Compact"/>
              <w:spacing w:after="20" w:before="20"/>
              <w:jc w:val="left"/>
            </w:pPr>
            <w:r>
              <w:rPr>
                <w:sz w:val="18"/>
              </w:rPr>
              <w:t xml:space="preserve">W7</w:t>
            </w:r>
          </w:p>
        </w:tc>
        <w:tc>
          <w:tcPr>
            <w:tcW w:w="4068" w:type="dxa"/>
          </w:tcPr>
          <w:p>
            <w:pPr>
              <w:pStyle w:val="Compact"/>
              <w:spacing w:after="20" w:before="20"/>
              <w:jc w:val="left"/>
            </w:pPr>
            <w:r>
              <w:rPr>
                <w:sz w:val="18"/>
              </w:rPr>
              <w:t xml:space="preserve">Product → feedback with rating filter</w:t>
            </w:r>
          </w:p>
        </w:tc>
        <w:tc>
          <w:tcPr>
            <w:tcW w:w="1831" w:type="dxa"/>
          </w:tcPr>
          <w:p>
            <w:pPr>
              <w:pStyle w:val="Compact"/>
              <w:spacing w:after="20" w:before="20"/>
              <w:jc w:val="left"/>
            </w:pPr>
            <w:r>
              <w:rPr>
                <w:sz w:val="18"/>
              </w:rPr>
              <w:t xml:space="preserve">PG → Mongo</w:t>
            </w:r>
          </w:p>
        </w:tc>
        <w:tc>
          <w:tcPr>
            <w:tcW w:w="2460" w:type="dxa"/>
          </w:tcPr>
          <w:p>
            <w:pPr>
              <w:pStyle w:val="Compact"/>
              <w:spacing w:after="20" w:before="20"/>
              <w:jc w:val="left"/>
            </w:pPr>
            <w:r>
              <w:rPr>
                <w:sz w:val="18"/>
              </w:rPr>
              <w:t xml:space="preserve">T-E2, held out</w:t>
            </w:r>
          </w:p>
        </w:tc>
      </w:tr>
      <w:tr>
        <w:tc>
          <w:tcPr>
            <w:tcW w:w="1431" w:type="dxa"/>
          </w:tcPr>
          <w:p>
            <w:pPr>
              <w:pStyle w:val="Compact"/>
              <w:spacing w:after="20" w:before="20"/>
              <w:jc w:val="left"/>
            </w:pPr>
            <w:r>
              <w:rPr>
                <w:sz w:val="18"/>
              </w:rPr>
              <w:t xml:space="preserve">W8</w:t>
            </w:r>
          </w:p>
        </w:tc>
        <w:tc>
          <w:tcPr>
            <w:tcW w:w="4068" w:type="dxa"/>
          </w:tcPr>
          <w:p>
            <w:pPr>
              <w:pStyle w:val="Compact"/>
              <w:spacing w:after="20" w:before="20"/>
              <w:jc w:val="left"/>
            </w:pPr>
            <w:r>
              <w:rPr>
                <w:sz w:val="18"/>
              </w:rPr>
              <w:t xml:space="preserve">Vendor → products, same store, depth 2</w:t>
            </w:r>
          </w:p>
        </w:tc>
        <w:tc>
          <w:tcPr>
            <w:tcW w:w="1831" w:type="dxa"/>
          </w:tcPr>
          <w:p>
            <w:pPr>
              <w:pStyle w:val="Compact"/>
              <w:spacing w:after="20" w:before="20"/>
              <w:jc w:val="left"/>
            </w:pPr>
            <w:r>
              <w:rPr>
                <w:sz w:val="18"/>
              </w:rPr>
              <w:t xml:space="preserve">PG</w:t>
            </w:r>
          </w:p>
        </w:tc>
        <w:tc>
          <w:tcPr>
            <w:tcW w:w="2460" w:type="dxa"/>
          </w:tcPr>
          <w:p>
            <w:pPr>
              <w:pStyle w:val="Compact"/>
              <w:spacing w:after="20" w:before="20"/>
              <w:jc w:val="left"/>
            </w:pPr>
            <w:r>
              <w:rPr>
                <w:sz w:val="18"/>
              </w:rPr>
              <w:t xml:space="preserve">T-C1</w:t>
            </w:r>
          </w:p>
        </w:tc>
      </w:tr>
      <w:tr>
        <w:tc>
          <w:tcPr>
            <w:tcW w:w="1431" w:type="dxa"/>
          </w:tcPr>
          <w:p>
            <w:pPr>
              <w:pStyle w:val="Compact"/>
              <w:spacing w:after="20" w:before="20"/>
              <w:jc w:val="left"/>
            </w:pPr>
            <w:r>
              <w:rPr>
                <w:sz w:val="18"/>
              </w:rPr>
              <w:t xml:space="preserve">W9</w:t>
            </w:r>
          </w:p>
        </w:tc>
        <w:tc>
          <w:tcPr>
            <w:tcW w:w="4068" w:type="dxa"/>
          </w:tcPr>
          <w:p>
            <w:pPr>
              <w:pStyle w:val="Compact"/>
              <w:spacing w:after="20" w:before="20"/>
              <w:jc w:val="left"/>
            </w:pPr>
            <w:r>
              <w:rPr>
                <w:sz w:val="18"/>
              </w:rPr>
              <w:t xml:space="preserve">Root limit/offset with nested per-parent limit</w:t>
            </w:r>
          </w:p>
        </w:tc>
        <w:tc>
          <w:tcPr>
            <w:tcW w:w="1831" w:type="dxa"/>
          </w:tcPr>
          <w:p>
            <w:pPr>
              <w:pStyle w:val="Compact"/>
              <w:spacing w:after="20" w:before="20"/>
              <w:jc w:val="left"/>
            </w:pPr>
            <w:r>
              <w:rPr>
                <w:sz w:val="18"/>
              </w:rPr>
              <w:t xml:space="preserve">PG → Mongo</w:t>
            </w:r>
          </w:p>
        </w:tc>
        <w:tc>
          <w:tcPr>
            <w:tcW w:w="2460" w:type="dxa"/>
          </w:tcPr>
          <w:p>
            <w:pPr>
              <w:pStyle w:val="Compact"/>
              <w:spacing w:after="20" w:before="20"/>
              <w:jc w:val="left"/>
            </w:pPr>
            <w:r>
              <w:rPr>
                <w:sz w:val="18"/>
              </w:rPr>
              <w:t xml:space="preserve">R4 boundary</w:t>
            </w:r>
          </w:p>
        </w:tc>
      </w:tr>
      <w:tr>
        <w:tc>
          <w:tcPr>
            <w:tcW w:w="1431" w:type="dxa"/>
          </w:tcPr>
          <w:p>
            <w:pPr>
              <w:pStyle w:val="Compact"/>
              <w:spacing w:after="20" w:before="20"/>
              <w:jc w:val="left"/>
            </w:pPr>
            <w:r>
              <w:rPr>
                <w:sz w:val="18"/>
              </w:rPr>
              <w:t xml:space="preserve">W10</w:t>
            </w:r>
          </w:p>
        </w:tc>
        <w:tc>
          <w:tcPr>
            <w:tcW w:w="4068" w:type="dxa"/>
          </w:tcPr>
          <w:p>
            <w:pPr>
              <w:pStyle w:val="Compact"/>
              <w:spacing w:after="20" w:before="20"/>
              <w:jc w:val="left"/>
            </w:pPr>
            <w:r>
              <w:rPr>
                <w:sz w:val="18"/>
              </w:rPr>
              <w:t xml:space="preserve">Named fragments over W5’s shape</w:t>
            </w:r>
          </w:p>
        </w:tc>
        <w:tc>
          <w:tcPr>
            <w:tcW w:w="1831" w:type="dxa"/>
          </w:tcPr>
          <w:p>
            <w:pPr>
              <w:pStyle w:val="Compact"/>
              <w:spacing w:after="20" w:before="20"/>
              <w:jc w:val="left"/>
            </w:pPr>
            <w:r>
              <w:rPr>
                <w:sz w:val="18"/>
              </w:rPr>
              <w:t xml:space="preserve">PG → Mongo</w:t>
            </w:r>
          </w:p>
        </w:tc>
        <w:tc>
          <w:tcPr>
            <w:tcW w:w="2460" w:type="dxa"/>
          </w:tcPr>
          <w:p>
            <w:pPr>
              <w:pStyle w:val="Compact"/>
              <w:spacing w:after="20" w:before="20"/>
              <w:jc w:val="left"/>
            </w:pPr>
            <w:r>
              <w:rPr>
                <w:sz w:val="18"/>
              </w:rPr>
              <w:t xml:space="preserve">T-C1, held out</w:t>
            </w:r>
          </w:p>
        </w:tc>
      </w:tr>
    </w:tbl>
    <w:bookmarkEnd w:id="66"/>
    <w:bookmarkStart w:id="67" w:name="measurement-protocol"/>
    <w:p>
      <w:pPr>
        <w:pStyle w:val="Heading2"/>
      </w:pPr>
      <w:r>
        <w:t xml:space="preserve">10.3 Measurement protocol</w:t>
      </w:r>
    </w:p>
    <w:p>
      <w:pPr>
        <w:pStyle w:val="FirstParagraph"/>
      </w:pPr>
      <w:r>
        <w:t xml:space="preserve">Idle machine on AC power, sync and indexing off, 10-minute thermal settle before each run. Per sweep point: 3 discarded warm-ups, then 7 timed repetitions; within each repetition the arm order is shuffled with a recorded seed so drift cannot favour one arm. Database caches are warm by design; a cold-cache variant is an extension, not a floor measurement.</w:t>
      </w:r>
    </w:p>
    <w:bookmarkEnd w:id="67"/>
    <w:bookmarkStart w:id="68" w:name="X8a6e43e7edac934818a3067ea66da9d5a552cf0"/>
    <w:p>
      <w:pPr>
        <w:pStyle w:val="Heading2"/>
      </w:pPr>
      <w:r>
        <w:t xml:space="preserve">10.4 SC-6 counting protocol (outline; full text committed at M7, before either system is measured)</w:t>
      </w:r>
    </w:p>
    <w:p>
      <w:pPr>
        <w:numPr>
          <w:ilvl w:val="0"/>
          <w:numId w:val="1005"/>
        </w:numPr>
        <w:pStyle w:val="Compact"/>
      </w:pPr>
      <w:r>
        <w:rPr>
          <w:bCs/>
          <w:b/>
        </w:rPr>
        <w:t xml:space="preserve">Task</w:t>
      </w:r>
      <w:r>
        <w:t xml:space="preserve">: add</w:t>
      </w:r>
      <w:r>
        <w:t xml:space="preserve"> </w:t>
      </w:r>
      <w:r>
        <w:rPr>
          <w:rStyle w:val="VerbatimChar"/>
        </w:rPr>
        <w:t xml:space="preserve">Feedback</w:t>
      </w:r>
      <w:r>
        <w:t xml:space="preserve"> </w:t>
      </w:r>
      <w:r>
        <w:t xml:space="preserve">as a new MongoDB-resident type with a relationship from</w:t>
      </w:r>
      <w:r>
        <w:t xml:space="preserve"> </w:t>
      </w:r>
      <w:r>
        <w:rPr>
          <w:rStyle w:val="VerbatimChar"/>
        </w:rPr>
        <w:t xml:space="preserve">Product</w:t>
      </w:r>
      <w:r>
        <w:t xml:space="preserve"> </w:t>
      </w:r>
      <w:r>
        <w:t xml:space="preserve">(PostgreSQL), starting from a working two-type system in each tool. The task mirrors Hasura’s own documented add-a-model-and-relationship flow.</w:t>
      </w:r>
    </w:p>
    <w:p>
      <w:pPr>
        <w:numPr>
          <w:ilvl w:val="0"/>
          <w:numId w:val="1005"/>
        </w:numPr>
        <w:pStyle w:val="Compact"/>
      </w:pPr>
      <w:r>
        <w:rPr>
          <w:bCs/>
          <w:b/>
        </w:rPr>
        <w:t xml:space="preserve">Files touched</w:t>
      </w:r>
      <w:r>
        <w:t xml:space="preserve">: any file created or edited, generated or hand-written, that must be committed for the change to work. Generated-but-unedited files are reported in a separate column, not dropped.</w:t>
      </w:r>
    </w:p>
    <w:p>
      <w:pPr>
        <w:numPr>
          <w:ilvl w:val="0"/>
          <w:numId w:val="1005"/>
        </w:numPr>
        <w:pStyle w:val="Compact"/>
      </w:pPr>
      <w:r>
        <w:rPr>
          <w:bCs/>
          <w:b/>
        </w:rPr>
        <w:t xml:space="preserve">Configuration lines</w:t>
      </w:r>
      <w:r>
        <w:t xml:space="preserve">: non-blank, non-comment lines added or changed, from</w:t>
      </w:r>
      <w:r>
        <w:t xml:space="preserve"> </w:t>
      </w:r>
      <w:r>
        <w:rPr>
          <w:rStyle w:val="VerbatimChar"/>
        </w:rPr>
        <w:t xml:space="preserve">git diff --numstat</w:t>
      </w:r>
      <w:r>
        <w:t xml:space="preserve"> </w:t>
      </w:r>
      <w:r>
        <w:t xml:space="preserve">on the task commit.</w:t>
      </w:r>
    </w:p>
    <w:p>
      <w:pPr>
        <w:numPr>
          <w:ilvl w:val="0"/>
          <w:numId w:val="1005"/>
        </w:numPr>
        <w:pStyle w:val="Compact"/>
      </w:pPr>
      <w:r>
        <w:rPr>
          <w:bCs/>
          <w:b/>
        </w:rPr>
        <w:t xml:space="preserve">Concepts</w:t>
      </w:r>
      <w:r>
        <w:t xml:space="preserve">: distinct named constructs the developer must know to complete the task, from a fixed glossary written before counting (for this engine: type,</w:t>
      </w:r>
      <w:r>
        <w:t xml:space="preserve"> </w:t>
      </w:r>
      <w:r>
        <w:rPr>
          <w:rStyle w:val="VerbatimChar"/>
        </w:rPr>
        <w:t xml:space="preserve">@store</w:t>
      </w:r>
      <w:r>
        <w:t xml:space="preserve">,</w:t>
      </w:r>
      <w:r>
        <w:t xml:space="preserve"> </w:t>
      </w:r>
      <w:r>
        <w:rPr>
          <w:rStyle w:val="VerbatimChar"/>
        </w:rPr>
        <w:t xml:space="preserve">@ref</w:t>
      </w:r>
      <w:r>
        <w:t xml:space="preserve">, backend key; for Hasura: its metadata kinds as used).</w:t>
      </w:r>
    </w:p>
    <w:p>
      <w:pPr>
        <w:numPr>
          <w:ilvl w:val="0"/>
          <w:numId w:val="1005"/>
        </w:numPr>
        <w:pStyle w:val="Compact"/>
      </w:pPr>
      <w:r>
        <w:rPr>
          <w:bCs/>
          <w:b/>
        </w:rPr>
        <w:t xml:space="preserve">Reporting</w:t>
      </w:r>
      <w:r>
        <w:t xml:space="preserve">: both counts raw, then the ratio. A null or reversed result is stated in the abstract.</w:t>
      </w:r>
    </w:p>
    <w:bookmarkEnd w:id="68"/>
    <w:bookmarkEnd w:id="69"/>
    <w:bookmarkStart w:id="73" w:name="data-validation-and-evidence-strategy"/>
    <w:p>
      <w:pPr>
        <w:pStyle w:val="Heading1"/>
      </w:pPr>
      <w:r>
        <w:t xml:space="preserve">11. Data validation and evidence strategy</w:t>
      </w:r>
    </w:p>
    <w:p>
      <w:pPr>
        <w:pStyle w:val="FirstParagraph"/>
      </w:pPr>
      <w:r>
        <w:t xml:space="preserve">This is not a learning project, so there is no train/test split; its equivalent is a separation between what the engine is tuned on and what it is measured on, plus checks that make a wrong answer or a biased timing visible before it reaches the report.</w:t>
      </w:r>
    </w:p>
    <w:bookmarkStart w:id="70" w:name="data-validation-steps-every-load"/>
    <w:p>
      <w:pPr>
        <w:pStyle w:val="Heading2"/>
      </w:pPr>
      <w:r>
        <w:t xml:space="preserve">11.1 Data-validation steps (every load)</w:t>
      </w:r>
    </w:p>
    <w:p>
      <w:pPr>
        <w:numPr>
          <w:ilvl w:val="0"/>
          <w:numId w:val="1006"/>
        </w:numPr>
        <w:pStyle w:val="Compact"/>
      </w:pPr>
      <w:r>
        <w:rPr>
          <w:bCs/>
          <w:b/>
        </w:rPr>
        <w:t xml:space="preserve">Schema check</w:t>
      </w:r>
      <w:r>
        <w:t xml:space="preserve">: generated records validate against a JSON Schema per entity (types, required fields, id ranges).</w:t>
      </w:r>
    </w:p>
    <w:p>
      <w:pPr>
        <w:numPr>
          <w:ilvl w:val="0"/>
          <w:numId w:val="1006"/>
        </w:numPr>
        <w:pStyle w:val="Compact"/>
      </w:pPr>
      <w:r>
        <w:rPr>
          <w:bCs/>
          <w:b/>
        </w:rPr>
        <w:t xml:space="preserve">Referential check</w:t>
      </w:r>
      <w:r>
        <w:t xml:space="preserve">: every</w:t>
      </w:r>
      <w:r>
        <w:t xml:space="preserve"> </w:t>
      </w:r>
      <w:r>
        <w:rPr>
          <w:rStyle w:val="VerbatimChar"/>
        </w:rPr>
        <w:t xml:space="preserve">Order.customerId</w:t>
      </w:r>
      <w:r>
        <w:t xml:space="preserve">,</w:t>
      </w:r>
      <w:r>
        <w:t xml:space="preserve"> </w:t>
      </w:r>
      <w:r>
        <w:rPr>
          <w:rStyle w:val="VerbatimChar"/>
        </w:rPr>
        <w:t xml:space="preserve">Feedback.customerId</w:t>
      </w:r>
      <w:r>
        <w:t xml:space="preserve">,</w:t>
      </w:r>
      <w:r>
        <w:t xml:space="preserve"> </w:t>
      </w:r>
      <w:r>
        <w:rPr>
          <w:rStyle w:val="VerbatimChar"/>
        </w:rPr>
        <w:t xml:space="preserve">Feedback.productId</w:t>
      </w:r>
      <w:r>
        <w:t xml:space="preserve"> </w:t>
      </w:r>
      <w:r>
        <w:t xml:space="preserve">and order-line</w:t>
      </w:r>
      <w:r>
        <w:t xml:space="preserve"> </w:t>
      </w:r>
      <w:r>
        <w:rPr>
          <w:rStyle w:val="VerbatimChar"/>
        </w:rPr>
        <w:t xml:space="preserve">productId</w:t>
      </w:r>
      <w:r>
        <w:t xml:space="preserve"> </w:t>
      </w:r>
      <w:r>
        <w:t xml:space="preserve">resolves; orphan count must be 0.</w:t>
      </w:r>
    </w:p>
    <w:p>
      <w:pPr>
        <w:numPr>
          <w:ilvl w:val="0"/>
          <w:numId w:val="1006"/>
        </w:numPr>
        <w:pStyle w:val="Compact"/>
      </w:pPr>
      <w:r>
        <w:rPr>
          <w:bCs/>
          <w:b/>
        </w:rPr>
        <w:t xml:space="preserve">Distribution check</w:t>
      </w:r>
      <w:r>
        <w:t xml:space="preserve">: observed</w:t>
      </w:r>
      <w:r>
        <w:t xml:space="preserve"> </w:t>
      </w:r>
      <w:r>
        <w:rPr>
          <w:rStyle w:val="VerbatimChar"/>
        </w:rPr>
        <w:t xml:space="preserve">sel</w:t>
      </w:r>
      <w:r>
        <w:t xml:space="preserve"> </w:t>
      </w:r>
      <w:r>
        <w:t xml:space="preserve">is uniform (chi-square, 100 bins, p &gt; 0.01) and orders-per-customer matches the configured Zipf exponent within 5%. Failures stop the pipeline.</w:t>
      </w:r>
    </w:p>
    <w:p>
      <w:pPr>
        <w:numPr>
          <w:ilvl w:val="0"/>
          <w:numId w:val="1006"/>
        </w:numPr>
        <w:pStyle w:val="Compact"/>
      </w:pPr>
      <w:r>
        <w:rPr>
          <w:bCs/>
          <w:b/>
        </w:rPr>
        <w:t xml:space="preserve">Equivalence check</w:t>
      </w:r>
      <w:r>
        <w:t xml:space="preserve"> </w:t>
      </w:r>
      <w:r>
        <w:t xml:space="preserve">(§5.5) between federated and consolidated placements.</w:t>
      </w:r>
    </w:p>
    <w:p>
      <w:pPr>
        <w:numPr>
          <w:ilvl w:val="0"/>
          <w:numId w:val="1006"/>
        </w:numPr>
        <w:pStyle w:val="Compact"/>
      </w:pPr>
      <w:r>
        <w:rPr>
          <w:bCs/>
          <w:b/>
        </w:rPr>
        <w:t xml:space="preserve">Manifest</w:t>
      </w:r>
      <w:r>
        <w:t xml:space="preserve">: checksums and check results written into the run manifest; a run without them is invalid.</w:t>
      </w:r>
    </w:p>
    <w:bookmarkEnd w:id="70"/>
    <w:bookmarkStart w:id="71" w:name="the-developmentmeasurement-split"/>
    <w:p>
      <w:pPr>
        <w:pStyle w:val="Heading2"/>
      </w:pPr>
      <w:r>
        <w:t xml:space="preserve">11.2 The development/measurement split</w:t>
      </w:r>
    </w:p>
    <w:tbl>
      <w:tblPr>
        <w:tblStyle w:val="Table"/>
        <w:tblLook w:firstRow="1" w:lastRow="0" w:firstColumn="0" w:lastColumn="0" w:noHBand="0" w:noVBand="0" w:val="0020"/>
        <w:jc w:val="start"/>
        <w:tblW w:w="9789"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594"/>
        <w:gridCol w:w="2025"/>
        <w:gridCol w:w="2628"/>
        <w:gridCol w:w="3542"/>
      </w:tblGrid>
      <w:tr>
        <w:trPr>
          <w:tblHeader w:val="true"/>
          <w:tblHeader w:val="true"/>
        </w:trPr>
        <w:tc>
          <w:tcPr>
            <w:tcW w:w="1594" w:type="dxa"/>
            <w:shd w:val="clear" w:color="auto" w:fill="DCE6F2"/>
          </w:tcPr>
          <w:p>
            <w:pPr>
              <w:pStyle w:val="Compact"/>
              <w:spacing w:after="20" w:before="20"/>
              <w:jc w:val="left"/>
            </w:pPr>
            <w:r>
              <w:rPr>
                <w:b/>
                <w:sz w:val="18"/>
              </w:rPr>
              <w:t xml:space="preserve">Held apart</w:t>
            </w:r>
          </w:p>
        </w:tc>
        <w:tc>
          <w:tcPr>
            <w:tcW w:w="2025" w:type="dxa"/>
            <w:shd w:val="clear" w:color="auto" w:fill="DCE6F2"/>
          </w:tcPr>
          <w:p>
            <w:pPr>
              <w:pStyle w:val="Compact"/>
              <w:spacing w:after="20" w:before="20"/>
              <w:jc w:val="left"/>
            </w:pPr>
            <w:r>
              <w:rPr>
                <w:b/>
                <w:sz w:val="18"/>
              </w:rPr>
              <w:t xml:space="preserve">Development</w:t>
            </w:r>
          </w:p>
        </w:tc>
        <w:tc>
          <w:tcPr>
            <w:tcW w:w="2628" w:type="dxa"/>
            <w:shd w:val="clear" w:color="auto" w:fill="DCE6F2"/>
          </w:tcPr>
          <w:p>
            <w:pPr>
              <w:pStyle w:val="Compact"/>
              <w:spacing w:after="20" w:before="20"/>
              <w:jc w:val="left"/>
            </w:pPr>
            <w:r>
              <w:rPr>
                <w:b/>
                <w:sz w:val="18"/>
              </w:rPr>
              <w:t xml:space="preserve">Measurement</w:t>
            </w:r>
          </w:p>
        </w:tc>
        <w:tc>
          <w:tcPr>
            <w:tcW w:w="3542" w:type="dxa"/>
            <w:shd w:val="clear" w:color="auto" w:fill="DCE6F2"/>
          </w:tcPr>
          <w:p>
            <w:pPr>
              <w:pStyle w:val="Compact"/>
              <w:spacing w:after="20" w:before="20"/>
              <w:jc w:val="left"/>
            </w:pPr>
            <w:r>
              <w:rPr>
                <w:b/>
                <w:sz w:val="18"/>
              </w:rPr>
              <w:t xml:space="preserve">Why</w:t>
            </w:r>
          </w:p>
        </w:tc>
      </w:tr>
      <w:tr>
        <w:tc>
          <w:tcPr>
            <w:tcW w:w="1594" w:type="dxa"/>
          </w:tcPr>
          <w:p>
            <w:pPr>
              <w:pStyle w:val="Compact"/>
              <w:spacing w:after="20" w:before="20"/>
              <w:jc w:val="left"/>
            </w:pPr>
            <w:r>
              <w:rPr>
                <w:sz w:val="18"/>
              </w:rPr>
              <w:t xml:space="preserve">Data seed</w:t>
            </w:r>
          </w:p>
        </w:tc>
        <w:tc>
          <w:tcPr>
            <w:tcW w:w="2025" w:type="dxa"/>
          </w:tcPr>
          <w:p>
            <w:pPr>
              <w:pStyle w:val="Compact"/>
              <w:spacing w:after="20" w:before="20"/>
              <w:jc w:val="left"/>
            </w:pPr>
            <w:r>
              <w:rPr>
                <w:sz w:val="18"/>
              </w:rPr>
              <w:t xml:space="preserve">seed 1</w:t>
            </w:r>
          </w:p>
        </w:tc>
        <w:tc>
          <w:tcPr>
            <w:tcW w:w="2628" w:type="dxa"/>
          </w:tcPr>
          <w:p>
            <w:pPr>
              <w:pStyle w:val="Compact"/>
              <w:spacing w:after="20" w:before="20"/>
              <w:jc w:val="left"/>
            </w:pPr>
            <w:r>
              <w:rPr>
                <w:sz w:val="18"/>
              </w:rPr>
              <w:t xml:space="preserve">seeds 2, 3, 4 (one per measurement pass)</w:t>
            </w:r>
          </w:p>
        </w:tc>
        <w:tc>
          <w:tcPr>
            <w:tcW w:w="3542" w:type="dxa"/>
          </w:tcPr>
          <w:p>
            <w:pPr>
              <w:pStyle w:val="Compact"/>
              <w:spacing w:after="20" w:before="20"/>
              <w:jc w:val="left"/>
            </w:pPr>
            <w:r>
              <w:rPr>
                <w:sz w:val="18"/>
              </w:rPr>
              <w:t xml:space="preserve">Rules cannot be tuned to one dataset’s quirks</w:t>
            </w:r>
          </w:p>
        </w:tc>
      </w:tr>
      <w:tr>
        <w:tc>
          <w:tcPr>
            <w:tcW w:w="1594" w:type="dxa"/>
          </w:tcPr>
          <w:p>
            <w:pPr>
              <w:pStyle w:val="Compact"/>
              <w:spacing w:after="20" w:before="20"/>
              <w:jc w:val="left"/>
            </w:pPr>
            <w:r>
              <w:rPr>
                <w:sz w:val="18"/>
              </w:rPr>
              <w:t xml:space="preserve">Query templates</w:t>
            </w:r>
          </w:p>
        </w:tc>
        <w:tc>
          <w:tcPr>
            <w:tcW w:w="2025" w:type="dxa"/>
          </w:tcPr>
          <w:p>
            <w:pPr>
              <w:pStyle w:val="Compact"/>
              <w:spacing w:after="20" w:before="20"/>
              <w:jc w:val="left"/>
            </w:pPr>
            <w:r>
              <w:rPr>
                <w:sz w:val="18"/>
              </w:rPr>
              <w:t xml:space="preserve">W1–W6, W8, W9</w:t>
            </w:r>
          </w:p>
        </w:tc>
        <w:tc>
          <w:tcPr>
            <w:tcW w:w="2628" w:type="dxa"/>
          </w:tcPr>
          <w:p>
            <w:pPr>
              <w:pStyle w:val="Compact"/>
              <w:spacing w:after="20" w:before="20"/>
              <w:jc w:val="left"/>
            </w:pPr>
            <w:r>
              <w:rPr>
                <w:sz w:val="18"/>
              </w:rPr>
              <w:t xml:space="preserve">all ten; W7 and W10 are never timed before M8</w:t>
            </w:r>
          </w:p>
        </w:tc>
        <w:tc>
          <w:tcPr>
            <w:tcW w:w="3542" w:type="dxa"/>
          </w:tcPr>
          <w:p>
            <w:pPr>
              <w:pStyle w:val="Compact"/>
              <w:spacing w:after="20" w:before="20"/>
              <w:jc w:val="left"/>
            </w:pPr>
            <w:r>
              <w:rPr>
                <w:sz w:val="18"/>
              </w:rPr>
              <w:t xml:space="preserve">Two templates the rewriter was never tuned against test generalization within the workload</w:t>
            </w:r>
          </w:p>
        </w:tc>
      </w:tr>
      <w:tr>
        <w:tc>
          <w:tcPr>
            <w:tcW w:w="1594" w:type="dxa"/>
          </w:tcPr>
          <w:p>
            <w:pPr>
              <w:pStyle w:val="Compact"/>
              <w:spacing w:after="20" w:before="20"/>
              <w:jc w:val="left"/>
            </w:pPr>
            <w:r>
              <w:rPr>
                <w:sz w:val="18"/>
              </w:rPr>
              <w:t xml:space="preserve">Sweep points</w:t>
            </w:r>
          </w:p>
        </w:tc>
        <w:tc>
          <w:tcPr>
            <w:tcW w:w="2025" w:type="dxa"/>
          </w:tcPr>
          <w:p>
            <w:pPr>
              <w:pStyle w:val="Compact"/>
              <w:spacing w:after="20" w:before="20"/>
              <w:jc w:val="left"/>
            </w:pPr>
            <w:r>
              <w:rPr>
                <w:sz w:val="18"/>
              </w:rPr>
              <w:t xml:space="preserve">3 pilot points at HS3 baseline</w:t>
            </w:r>
          </w:p>
        </w:tc>
        <w:tc>
          <w:tcPr>
            <w:tcW w:w="2628" w:type="dxa"/>
          </w:tcPr>
          <w:p>
            <w:pPr>
              <w:pStyle w:val="Compact"/>
              <w:spacing w:after="20" w:before="20"/>
              <w:jc w:val="left"/>
            </w:pPr>
            <w:r>
              <w:rPr>
                <w:sz w:val="18"/>
              </w:rPr>
              <w:t xml:space="preserve">nine pre-registered points</w:t>
            </w:r>
          </w:p>
        </w:tc>
        <w:tc>
          <w:tcPr>
            <w:tcW w:w="3542" w:type="dxa"/>
          </w:tcPr>
          <w:p>
            <w:pPr>
              <w:pStyle w:val="Compact"/>
              <w:spacing w:after="20" w:before="20"/>
              <w:jc w:val="left"/>
            </w:pPr>
            <w:r>
              <w:rPr>
                <w:sz w:val="18"/>
              </w:rPr>
              <w:t xml:space="preserve">Pilot points inform the one threshold revision, nothing else</w:t>
            </w:r>
          </w:p>
        </w:tc>
      </w:tr>
      <w:tr>
        <w:tc>
          <w:tcPr>
            <w:tcW w:w="1594" w:type="dxa"/>
          </w:tcPr>
          <w:p>
            <w:pPr>
              <w:pStyle w:val="Compact"/>
              <w:spacing w:after="20" w:before="20"/>
              <w:jc w:val="left"/>
            </w:pPr>
            <w:r>
              <w:rPr>
                <w:sz w:val="18"/>
              </w:rPr>
              <w:t xml:space="preserve">Thresholds</w:t>
            </w:r>
          </w:p>
        </w:tc>
        <w:tc>
          <w:tcPr>
            <w:tcW w:w="2025" w:type="dxa"/>
          </w:tcPr>
          <w:p>
            <w:pPr>
              <w:pStyle w:val="Compact"/>
              <w:spacing w:after="20" w:before="20"/>
              <w:jc w:val="left"/>
            </w:pPr>
            <w:r>
              <w:rPr>
                <w:sz w:val="18"/>
              </w:rPr>
              <w:t xml:space="preserve">provisional</w:t>
            </w:r>
          </w:p>
        </w:tc>
        <w:tc>
          <w:tcPr>
            <w:tcW w:w="2628" w:type="dxa"/>
          </w:tcPr>
          <w:p>
            <w:pPr>
              <w:pStyle w:val="Compact"/>
              <w:spacing w:after="20" w:before="20"/>
              <w:jc w:val="left"/>
            </w:pPr>
            <w:r>
              <w:rPr>
                <w:sz w:val="18"/>
              </w:rPr>
              <w:t xml:space="preserve">frozen after HS3</w:t>
            </w:r>
          </w:p>
        </w:tc>
        <w:tc>
          <w:tcPr>
            <w:tcW w:w="3542" w:type="dxa"/>
          </w:tcPr>
          <w:p>
            <w:pPr>
              <w:pStyle w:val="Compact"/>
              <w:spacing w:after="20" w:before="20"/>
              <w:jc w:val="left"/>
            </w:pPr>
            <w:r>
              <w:rPr>
                <w:sz w:val="18"/>
              </w:rPr>
              <w:t xml:space="preserve">Pre-registration (HS1 R3)</w:t>
            </w:r>
          </w:p>
        </w:tc>
      </w:tr>
    </w:tbl>
    <w:p>
      <w:pPr>
        <w:pStyle w:val="BodyText"/>
      </w:pPr>
      <w:r>
        <w:t xml:space="preserve">The held-out templates still pass the oracle at M5; only their timings are withheld.</w:t>
      </w:r>
    </w:p>
    <w:bookmarkEnd w:id="71"/>
    <w:bookmarkStart w:id="72" w:name="bias-and-error-checks"/>
    <w:p>
      <w:pPr>
        <w:pStyle w:val="Heading2"/>
      </w:pPr>
      <w:r>
        <w:t xml:space="preserve">11.3 Bias and error checks</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2559"/>
        <w:gridCol w:w="4455"/>
        <w:gridCol w:w="2777"/>
      </w:tblGrid>
      <w:tr>
        <w:trPr>
          <w:tblHeader w:val="true"/>
          <w:tblHeader w:val="true"/>
        </w:trPr>
        <w:tc>
          <w:tcPr>
            <w:tcW w:w="2559" w:type="dxa"/>
            <w:shd w:val="clear" w:color="auto" w:fill="DCE6F2"/>
          </w:tcPr>
          <w:p>
            <w:pPr>
              <w:pStyle w:val="Compact"/>
              <w:spacing w:after="20" w:before="20"/>
              <w:jc w:val="left"/>
            </w:pPr>
            <w:r>
              <w:rPr>
                <w:b/>
                <w:sz w:val="18"/>
              </w:rPr>
              <w:t xml:space="preserve">Threat</w:t>
            </w:r>
          </w:p>
        </w:tc>
        <w:tc>
          <w:tcPr>
            <w:tcW w:w="4455" w:type="dxa"/>
            <w:shd w:val="clear" w:color="auto" w:fill="DCE6F2"/>
          </w:tcPr>
          <w:p>
            <w:pPr>
              <w:pStyle w:val="Compact"/>
              <w:spacing w:after="20" w:before="20"/>
              <w:jc w:val="left"/>
            </w:pPr>
            <w:r>
              <w:rPr>
                <w:b/>
                <w:sz w:val="18"/>
              </w:rPr>
              <w:t xml:space="preserve">Check</w:t>
            </w:r>
          </w:p>
        </w:tc>
        <w:tc>
          <w:tcPr>
            <w:tcW w:w="2777" w:type="dxa"/>
            <w:shd w:val="clear" w:color="auto" w:fill="DCE6F2"/>
          </w:tcPr>
          <w:p>
            <w:pPr>
              <w:pStyle w:val="Compact"/>
              <w:spacing w:after="20" w:before="20"/>
              <w:jc w:val="left"/>
            </w:pPr>
            <w:r>
              <w:rPr>
                <w:b/>
                <w:sz w:val="18"/>
              </w:rPr>
              <w:t xml:space="preserve">What happens if it fires</w:t>
            </w:r>
          </w:p>
        </w:tc>
      </w:tr>
      <w:tr>
        <w:tc>
          <w:tcPr>
            <w:tcW w:w="2559" w:type="dxa"/>
          </w:tcPr>
          <w:p>
            <w:pPr>
              <w:pStyle w:val="Compact"/>
              <w:spacing w:after="20" w:before="20"/>
              <w:jc w:val="left"/>
            </w:pPr>
            <w:r>
              <w:rPr>
                <w:sz w:val="18"/>
              </w:rPr>
              <w:t xml:space="preserve">Wrong answers measured as fast answers</w:t>
            </w:r>
          </w:p>
        </w:tc>
        <w:tc>
          <w:tcPr>
            <w:tcW w:w="4455" w:type="dxa"/>
          </w:tcPr>
          <w:p>
            <w:pPr>
              <w:pStyle w:val="Compact"/>
              <w:spacing w:after="20" w:before="20"/>
              <w:jc w:val="left"/>
            </w:pPr>
            <w:r>
              <w:rPr>
                <w:sz w:val="18"/>
              </w:rPr>
              <w:t xml:space="preserve">Oracle green is a precondition the runner checks at the measured commit</w:t>
            </w:r>
          </w:p>
        </w:tc>
        <w:tc>
          <w:tcPr>
            <w:tcW w:w="2777" w:type="dxa"/>
          </w:tcPr>
          <w:p>
            <w:pPr>
              <w:pStyle w:val="Compact"/>
              <w:spacing w:after="20" w:before="20"/>
              <w:jc w:val="left"/>
            </w:pPr>
            <w:r>
              <w:rPr>
                <w:sz w:val="18"/>
              </w:rPr>
              <w:t xml:space="preserve">Run refused</w:t>
            </w:r>
          </w:p>
        </w:tc>
      </w:tr>
      <w:tr>
        <w:tc>
          <w:tcPr>
            <w:tcW w:w="2559" w:type="dxa"/>
          </w:tcPr>
          <w:p>
            <w:pPr>
              <w:pStyle w:val="Compact"/>
              <w:spacing w:after="20" w:before="20"/>
              <w:jc w:val="left"/>
            </w:pPr>
            <w:r>
              <w:rPr>
                <w:sz w:val="18"/>
              </w:rPr>
              <w:t xml:space="preserve">Order or thermal drift favouring an arm</w:t>
            </w:r>
          </w:p>
        </w:tc>
        <w:tc>
          <w:tcPr>
            <w:tcW w:w="4455" w:type="dxa"/>
          </w:tcPr>
          <w:p>
            <w:pPr>
              <w:pStyle w:val="Compact"/>
              <w:spacing w:after="20" w:before="20"/>
              <w:jc w:val="left"/>
            </w:pPr>
            <w:r>
              <w:rPr>
                <w:sz w:val="18"/>
              </w:rPr>
              <w:t xml:space="preserve">Randomized arm order per repetition; drift test comparing first vs last repetition medians</w:t>
            </w:r>
          </w:p>
        </w:tc>
        <w:tc>
          <w:tcPr>
            <w:tcW w:w="2777" w:type="dxa"/>
          </w:tcPr>
          <w:p>
            <w:pPr>
              <w:pStyle w:val="Compact"/>
              <w:spacing w:after="20" w:before="20"/>
              <w:jc w:val="left"/>
            </w:pPr>
            <w:r>
              <w:rPr>
                <w:sz w:val="18"/>
              </w:rPr>
              <w:t xml:space="preserve">Point rerun; drift reported</w:t>
            </w:r>
          </w:p>
        </w:tc>
      </w:tr>
      <w:tr>
        <w:tc>
          <w:tcPr>
            <w:tcW w:w="2559" w:type="dxa"/>
          </w:tcPr>
          <w:p>
            <w:pPr>
              <w:pStyle w:val="Compact"/>
              <w:spacing w:after="20" w:before="20"/>
              <w:jc w:val="left"/>
            </w:pPr>
            <w:r>
              <w:rPr>
                <w:sz w:val="18"/>
              </w:rPr>
              <w:t xml:space="preserve">Resource asymmetry between arms</w:t>
            </w:r>
          </w:p>
        </w:tc>
        <w:tc>
          <w:tcPr>
            <w:tcW w:w="4455" w:type="dxa"/>
          </w:tcPr>
          <w:p>
            <w:pPr>
              <w:pStyle w:val="Compact"/>
              <w:spacing w:after="20" w:before="20"/>
              <w:jc w:val="left"/>
            </w:pPr>
            <w:r>
              <w:rPr>
                <w:sz w:val="18"/>
              </w:rPr>
              <w:t xml:space="preserve">Shared cpuset and identical limits (§8.3), recorded in manifest</w:t>
            </w:r>
          </w:p>
        </w:tc>
        <w:tc>
          <w:tcPr>
            <w:tcW w:w="2777" w:type="dxa"/>
          </w:tcPr>
          <w:p>
            <w:pPr>
              <w:pStyle w:val="Compact"/>
              <w:spacing w:after="20" w:before="20"/>
              <w:jc w:val="left"/>
            </w:pPr>
            <w:r>
              <w:rPr>
                <w:sz w:val="18"/>
              </w:rPr>
              <w:t xml:space="preserve">Run invalid if limits differ</w:t>
            </w:r>
          </w:p>
        </w:tc>
      </w:tr>
      <w:tr>
        <w:tc>
          <w:tcPr>
            <w:tcW w:w="2559" w:type="dxa"/>
          </w:tcPr>
          <w:p>
            <w:pPr>
              <w:pStyle w:val="Compact"/>
              <w:spacing w:after="20" w:before="20"/>
              <w:jc w:val="left"/>
            </w:pPr>
            <w:r>
              <w:rPr>
                <w:sz w:val="18"/>
              </w:rPr>
              <w:t xml:space="preserve">Python overhead read as</w:t>
            </w:r>
            <w:r>
              <w:rPr>
                <w:sz w:val="18"/>
              </w:rPr>
              <w:t xml:space="preserve"> </w:t>
            </w:r>
            <w:r>
              <w:rPr>
                <w:sz w:val="18"/>
              </w:rPr>
              <w:t xml:space="preserve">“</w:t>
            </w:r>
            <w:r>
              <w:rPr>
                <w:sz w:val="18"/>
              </w:rPr>
              <w:t xml:space="preserve">federation cost</w:t>
            </w:r>
            <w:r>
              <w:rPr>
                <w:sz w:val="18"/>
              </w:rPr>
              <w:t xml:space="preserve">”</w:t>
            </w:r>
          </w:p>
        </w:tc>
        <w:tc>
          <w:tcPr>
            <w:tcW w:w="4455" w:type="dxa"/>
          </w:tcPr>
          <w:p>
            <w:pPr>
              <w:pStyle w:val="Compact"/>
              <w:spacing w:after="20" w:before="20"/>
              <w:jc w:val="left"/>
            </w:pPr>
            <w:r>
              <w:rPr>
                <w:sz w:val="18"/>
              </w:rPr>
              <w:t xml:space="preserve">Span breakdown per query (§6.5); report shows data-movement and engine-overhead shares separately</w:t>
            </w:r>
          </w:p>
        </w:tc>
        <w:tc>
          <w:tcPr>
            <w:tcW w:w="2777" w:type="dxa"/>
          </w:tcPr>
          <w:p>
            <w:pPr>
              <w:pStyle w:val="Compact"/>
              <w:spacing w:after="20" w:before="20"/>
              <w:jc w:val="left"/>
            </w:pPr>
            <w:r>
              <w:rPr>
                <w:sz w:val="18"/>
              </w:rPr>
              <w:t xml:space="preserve">Crossover stated with and without engine overhead</w:t>
            </w:r>
          </w:p>
        </w:tc>
      </w:tr>
      <w:tr>
        <w:tc>
          <w:tcPr>
            <w:tcW w:w="2559" w:type="dxa"/>
          </w:tcPr>
          <w:p>
            <w:pPr>
              <w:pStyle w:val="Compact"/>
              <w:spacing w:after="20" w:before="20"/>
              <w:jc w:val="left"/>
            </w:pPr>
            <w:r>
              <w:rPr>
                <w:sz w:val="18"/>
              </w:rPr>
              <w:t xml:space="preserve">Strawman baseline</w:t>
            </w:r>
          </w:p>
        </w:tc>
        <w:tc>
          <w:tcPr>
            <w:tcW w:w="4455" w:type="dxa"/>
          </w:tcPr>
          <w:p>
            <w:pPr>
              <w:pStyle w:val="Compact"/>
              <w:spacing w:after="20" w:before="20"/>
              <w:jc w:val="left"/>
            </w:pPr>
            <w:r>
              <w:rPr>
                <w:sz w:val="18"/>
              </w:rPr>
              <w:t xml:space="preserve">A3 is reported as context, never as the comparison for any SC; SC-4 and SC-5 compare A1 against A2 only</w:t>
            </w:r>
          </w:p>
        </w:tc>
        <w:tc>
          <w:tcPr>
            <w:tcW w:w="2777" w:type="dxa"/>
          </w:tcPr>
          <w:p>
            <w:pPr>
              <w:pStyle w:val="Compact"/>
              <w:spacing w:after="20" w:before="20"/>
              <w:jc w:val="left"/>
            </w:pPr>
            <w:r>
              <w:rPr>
                <w:sz w:val="18"/>
              </w:rPr>
              <w:t xml:space="preserve">—</w:t>
            </w:r>
          </w:p>
        </w:tc>
      </w:tr>
      <w:tr>
        <w:tc>
          <w:tcPr>
            <w:tcW w:w="2559" w:type="dxa"/>
          </w:tcPr>
          <w:p>
            <w:pPr>
              <w:pStyle w:val="Compact"/>
              <w:spacing w:after="20" w:before="20"/>
              <w:jc w:val="left"/>
            </w:pPr>
            <w:r>
              <w:rPr>
                <w:sz w:val="18"/>
              </w:rPr>
              <w:t xml:space="preserve">Self-designed workload</w:t>
            </w:r>
          </w:p>
        </w:tc>
        <w:tc>
          <w:tcPr>
            <w:tcW w:w="4455" w:type="dxa"/>
          </w:tcPr>
          <w:p>
            <w:pPr>
              <w:pStyle w:val="Compact"/>
              <w:spacing w:after="20" w:before="20"/>
              <w:jc w:val="left"/>
            </w:pPr>
            <w:r>
              <w:rPr>
                <w:sz w:val="18"/>
              </w:rPr>
              <w:t xml:space="preserve">UniBench shapes; entity ratios from its SF1 row counts; W7, W10 held out</w:t>
            </w:r>
          </w:p>
        </w:tc>
        <w:tc>
          <w:tcPr>
            <w:tcW w:w="2777" w:type="dxa"/>
          </w:tcPr>
          <w:p>
            <w:pPr>
              <w:pStyle w:val="Compact"/>
              <w:spacing w:after="20" w:before="20"/>
              <w:jc w:val="left"/>
            </w:pPr>
            <w:r>
              <w:rPr>
                <w:sz w:val="18"/>
              </w:rPr>
              <w:t xml:space="preserve">Deviations listed in the report</w:t>
            </w:r>
          </w:p>
        </w:tc>
      </w:tr>
      <w:tr>
        <w:tc>
          <w:tcPr>
            <w:tcW w:w="2559" w:type="dxa"/>
          </w:tcPr>
          <w:p>
            <w:pPr>
              <w:pStyle w:val="Compact"/>
              <w:spacing w:after="20" w:before="20"/>
              <w:jc w:val="left"/>
            </w:pPr>
            <w:r>
              <w:rPr>
                <w:sz w:val="18"/>
              </w:rPr>
              <w:t xml:space="preserve">Byte counter error</w:t>
            </w:r>
          </w:p>
        </w:tc>
        <w:tc>
          <w:tcPr>
            <w:tcW w:w="4455" w:type="dxa"/>
          </w:tcPr>
          <w:p>
            <w:pPr>
              <w:pStyle w:val="Compact"/>
              <w:spacing w:after="20" w:before="20"/>
              <w:jc w:val="left"/>
            </w:pPr>
            <w:r>
              <w:rPr>
                <w:sz w:val="18"/>
              </w:rPr>
              <w:t xml:space="preserve">Primary payload count cross-checked against container network counters (T-H1)</w:t>
            </w:r>
          </w:p>
        </w:tc>
        <w:tc>
          <w:tcPr>
            <w:tcW w:w="2777" w:type="dxa"/>
          </w:tcPr>
          <w:p>
            <w:pPr>
              <w:pStyle w:val="Compact"/>
              <w:spacing w:after="20" w:before="20"/>
              <w:jc w:val="left"/>
            </w:pPr>
            <w:r>
              <w:rPr>
                <w:sz w:val="18"/>
              </w:rPr>
              <w:t xml:space="preserve">Run flagged; primary figure not used until explained</w:t>
            </w:r>
          </w:p>
        </w:tc>
      </w:tr>
      <w:tr>
        <w:tc>
          <w:tcPr>
            <w:tcW w:w="2559" w:type="dxa"/>
          </w:tcPr>
          <w:p>
            <w:pPr>
              <w:pStyle w:val="Compact"/>
              <w:spacing w:after="20" w:before="20"/>
              <w:jc w:val="left"/>
            </w:pPr>
            <w:r>
              <w:rPr>
                <w:sz w:val="18"/>
              </w:rPr>
              <w:t xml:space="preserve">Skew sensitivity</w:t>
            </w:r>
          </w:p>
        </w:tc>
        <w:tc>
          <w:tcPr>
            <w:tcW w:w="4455" w:type="dxa"/>
          </w:tcPr>
          <w:p>
            <w:pPr>
              <w:pStyle w:val="Compact"/>
              <w:spacing w:after="20" w:before="20"/>
              <w:jc w:val="left"/>
            </w:pPr>
            <w:r>
              <w:rPr>
                <w:sz w:val="18"/>
              </w:rPr>
              <w:t xml:space="preserve">Main sweep on Zipf fan-out; one repeat of W5 on uniform fan-out</w:t>
            </w:r>
          </w:p>
        </w:tc>
        <w:tc>
          <w:tcPr>
            <w:tcW w:w="2777" w:type="dxa"/>
          </w:tcPr>
          <w:p>
            <w:pPr>
              <w:pStyle w:val="Compact"/>
              <w:spacing w:after="20" w:before="20"/>
              <w:jc w:val="left"/>
            </w:pPr>
            <w:r>
              <w:rPr>
                <w:sz w:val="18"/>
              </w:rPr>
              <w:t xml:space="preserve">Both reported if the crossover moves</w:t>
            </w:r>
          </w:p>
        </w:tc>
      </w:tr>
      <w:tr>
        <w:tc>
          <w:tcPr>
            <w:tcW w:w="2559" w:type="dxa"/>
          </w:tcPr>
          <w:p>
            <w:pPr>
              <w:pStyle w:val="Compact"/>
              <w:spacing w:after="20" w:before="20"/>
              <w:jc w:val="left"/>
            </w:pPr>
            <w:r>
              <w:rPr>
                <w:sz w:val="18"/>
              </w:rPr>
              <w:t xml:space="preserve">Single machine</w:t>
            </w:r>
          </w:p>
        </w:tc>
        <w:tc>
          <w:tcPr>
            <w:tcW w:w="4455" w:type="dxa"/>
          </w:tcPr>
          <w:p>
            <w:pPr>
              <w:pStyle w:val="Compact"/>
              <w:spacing w:after="20" w:before="20"/>
              <w:jc w:val="left"/>
            </w:pPr>
            <w:r>
              <w:rPr>
                <w:sz w:val="18"/>
              </w:rPr>
              <w:t xml:space="preserve">Stated as a scope limit (HS1 §5.3 #17); rehearsal machine gives a second data point for ordering, not for absolute times</w:t>
            </w:r>
          </w:p>
        </w:tc>
        <w:tc>
          <w:tcPr>
            <w:tcW w:w="2777" w:type="dxa"/>
          </w:tcPr>
          <w:p>
            <w:pPr>
              <w:pStyle w:val="Compact"/>
              <w:spacing w:after="20" w:before="20"/>
              <w:jc w:val="left"/>
            </w:pPr>
            <w:r>
              <w:rPr>
                <w:sz w:val="18"/>
              </w:rPr>
              <w:t xml:space="preserve">—</w:t>
            </w:r>
          </w:p>
        </w:tc>
      </w:tr>
    </w:tbl>
    <w:bookmarkEnd w:id="72"/>
    <w:bookmarkEnd w:id="73"/>
    <w:bookmarkStart w:id="78" w:name="X583f7715055f136a5882b87d2a950fb7ab14bad"/>
    <w:p>
      <w:pPr>
        <w:pStyle w:val="Heading1"/>
      </w:pPr>
      <w:r>
        <w:t xml:space="preserve">12. Design review: risks, missing dependencies, evaluation gaps</w:t>
      </w:r>
    </w:p>
    <w:p>
      <w:pPr>
        <w:pStyle w:val="FirstParagraph"/>
      </w:pPr>
      <w:r>
        <w:t xml:space="preserve">The highest-risk dependency is Hasura DDN: it is the only floor dependency outside my control, SC-6 rests on it, and its local build still calls a hosted service. It is de-risked by a one-day spike in Week 5, before anything else depends on it.</w:t>
      </w:r>
    </w:p>
    <w:bookmarkStart w:id="74" w:name="answer-to-the-supervisor-prompt"/>
    <w:p>
      <w:pPr>
        <w:pStyle w:val="Heading2"/>
      </w:pPr>
      <w:r>
        <w:t xml:space="preserve">12.1 Answer to the supervisor prompt</w:t>
      </w:r>
    </w:p>
    <w:p>
      <w:pPr>
        <w:pStyle w:val="FirstParagraph"/>
      </w:pPr>
      <w:r>
        <w:rPr>
          <w:bCs/>
          <w:b/>
        </w:rPr>
        <w:t xml:space="preserve">Which part of the design is the highest-risk dependency, and how will it be de-risked early?</w:t>
      </w:r>
    </w:p>
    <w:p>
      <w:pPr>
        <w:numPr>
          <w:ilvl w:val="0"/>
          <w:numId w:val="1007"/>
        </w:numPr>
        <w:pStyle w:val="Compact"/>
      </w:pPr>
      <w:r>
        <w:rPr>
          <w:bCs/>
          <w:b/>
        </w:rPr>
        <w:t xml:space="preserve">External: Hasura DDN.</w:t>
      </w:r>
      <w:r>
        <w:t xml:space="preserve"> </w:t>
      </w:r>
      <w:r>
        <w:t xml:space="preserve">Risks: account or terms change (R7), the hosted metadata build service being unavailable, the latest-image default drifting the comparator, and uncertainty whether the MongoDB connector can be the target of a cross-connector relationship.</w:t>
      </w:r>
      <w:r>
        <w:t xml:space="preserve"> </w:t>
      </w:r>
      <w:r>
        <w:rPr>
          <w:bCs/>
          <w:b/>
        </w:rPr>
        <w:t xml:space="preserve">Spike S-1 (Week 5, one day)</w:t>
      </w:r>
      <w:r>
        <w:t xml:space="preserve">: build a local supergraph over</w:t>
      </w:r>
      <w:r>
        <w:t xml:space="preserve"> </w:t>
      </w:r>
      <w:r>
        <w:rPr>
          <w:rStyle w:val="VerbatimChar"/>
        </w:rPr>
        <w:t xml:space="preserve">pg-fed</w:t>
      </w:r>
      <w:r>
        <w:t xml:space="preserve"> </w:t>
      </w:r>
      <w:r>
        <w:t xml:space="preserve">and</w:t>
      </w:r>
      <w:r>
        <w:t xml:space="preserve"> </w:t>
      </w:r>
      <w:r>
        <w:rPr>
          <w:rStyle w:val="VerbatimChar"/>
        </w:rPr>
        <w:t xml:space="preserve">mongo-fed</w:t>
      </w:r>
      <w:r>
        <w:t xml:space="preserve"> </w:t>
      </w:r>
      <w:r>
        <w:t xml:space="preserve">with one PG → Mongo relationship, pin every image by digest, save the generated HML, and read the current terms on publishing comparisons. Pass → continue. Any fail → trigger the GraphQL Mesh fallback that week, record ADR-0007, and state the substitution in the report.</w:t>
      </w:r>
    </w:p>
    <w:p>
      <w:pPr>
        <w:numPr>
          <w:ilvl w:val="0"/>
          <w:numId w:val="1007"/>
        </w:numPr>
        <w:pStyle w:val="Compact"/>
      </w:pPr>
      <w:r>
        <w:rPr>
          <w:bCs/>
          <w:b/>
        </w:rPr>
        <w:t xml:space="preserve">Internal: the bind hash join and its oracle.</w:t>
      </w:r>
      <w:r>
        <w:t xml:space="preserve"> </w:t>
      </w:r>
      <w:r>
        <w:t xml:space="preserve">Every measurement depends on it being correct. De-risked by building the oracle in the fortnight after the join (Weeks 7–8) and by the M5 hard gate.</w:t>
      </w:r>
    </w:p>
    <w:bookmarkEnd w:id="74"/>
    <w:bookmarkStart w:id="75" w:name="design-risks-added-or-changed-at-hs2"/>
    <w:p>
      <w:pPr>
        <w:pStyle w:val="Heading2"/>
      </w:pPr>
      <w:r>
        <w:t xml:space="preserve">12.2 Design risks added or changed at HS2</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993"/>
        <w:gridCol w:w="3099"/>
        <w:gridCol w:w="795"/>
        <w:gridCol w:w="795"/>
        <w:gridCol w:w="3071"/>
        <w:gridCol w:w="1037"/>
      </w:tblGrid>
      <w:tr>
        <w:trPr>
          <w:tblHeader w:val="true"/>
          <w:tblHeader w:val="true"/>
        </w:trPr>
        <w:tc>
          <w:tcPr>
            <w:tcW w:w="993" w:type="dxa"/>
            <w:shd w:val="clear" w:color="auto" w:fill="DCE6F2"/>
          </w:tcPr>
          <w:p>
            <w:pPr>
              <w:pStyle w:val="Compact"/>
              <w:spacing w:after="20" w:before="20"/>
              <w:jc w:val="left"/>
            </w:pPr>
            <w:r>
              <w:rPr>
                <w:b/>
                <w:sz w:val="16"/>
              </w:rPr>
              <w:t xml:space="preserve">ID</w:t>
            </w:r>
          </w:p>
        </w:tc>
        <w:tc>
          <w:tcPr>
            <w:tcW w:w="3099" w:type="dxa"/>
            <w:shd w:val="clear" w:color="auto" w:fill="DCE6F2"/>
          </w:tcPr>
          <w:p>
            <w:pPr>
              <w:pStyle w:val="Compact"/>
              <w:spacing w:after="20" w:before="20"/>
              <w:jc w:val="left"/>
            </w:pPr>
            <w:r>
              <w:rPr>
                <w:b/>
                <w:sz w:val="16"/>
              </w:rPr>
              <w:t xml:space="preserve">Risk</w:t>
            </w:r>
          </w:p>
        </w:tc>
        <w:tc>
          <w:tcPr>
            <w:tcW w:w="795" w:type="dxa"/>
            <w:shd w:val="clear" w:color="auto" w:fill="DCE6F2"/>
          </w:tcPr>
          <w:p>
            <w:pPr>
              <w:pStyle w:val="Compact"/>
              <w:spacing w:after="20" w:before="20"/>
              <w:jc w:val="left"/>
            </w:pPr>
            <w:r>
              <w:rPr>
                <w:b/>
                <w:sz w:val="16"/>
              </w:rPr>
              <w:t xml:space="preserve">L</w:t>
            </w:r>
          </w:p>
        </w:tc>
        <w:tc>
          <w:tcPr>
            <w:tcW w:w="795" w:type="dxa"/>
            <w:shd w:val="clear" w:color="auto" w:fill="DCE6F2"/>
          </w:tcPr>
          <w:p>
            <w:pPr>
              <w:pStyle w:val="Compact"/>
              <w:spacing w:after="20" w:before="20"/>
              <w:jc w:val="left"/>
            </w:pPr>
            <w:r>
              <w:rPr>
                <w:b/>
                <w:sz w:val="16"/>
              </w:rPr>
              <w:t xml:space="preserve">I</w:t>
            </w:r>
          </w:p>
        </w:tc>
        <w:tc>
          <w:tcPr>
            <w:tcW w:w="3071" w:type="dxa"/>
            <w:shd w:val="clear" w:color="auto" w:fill="DCE6F2"/>
          </w:tcPr>
          <w:p>
            <w:pPr>
              <w:pStyle w:val="Compact"/>
              <w:spacing w:after="20" w:before="20"/>
              <w:jc w:val="left"/>
            </w:pPr>
            <w:r>
              <w:rPr>
                <w:b/>
                <w:sz w:val="16"/>
              </w:rPr>
              <w:t xml:space="preserve">Mitigation</w:t>
            </w:r>
          </w:p>
        </w:tc>
        <w:tc>
          <w:tcPr>
            <w:tcW w:w="1037" w:type="dxa"/>
            <w:shd w:val="clear" w:color="auto" w:fill="DCE6F2"/>
          </w:tcPr>
          <w:p>
            <w:pPr>
              <w:pStyle w:val="Compact"/>
              <w:spacing w:after="20" w:before="20"/>
              <w:jc w:val="left"/>
            </w:pPr>
            <w:r>
              <w:rPr>
                <w:b/>
                <w:sz w:val="16"/>
              </w:rPr>
              <w:t xml:space="preserve">Residual</w:t>
            </w:r>
          </w:p>
        </w:tc>
      </w:tr>
      <w:tr>
        <w:tc>
          <w:tcPr>
            <w:tcW w:w="993" w:type="dxa"/>
          </w:tcPr>
          <w:p>
            <w:pPr>
              <w:pStyle w:val="Compact"/>
              <w:spacing w:after="20" w:before="20"/>
              <w:jc w:val="left"/>
            </w:pPr>
            <w:r>
              <w:rPr>
                <w:sz w:val="16"/>
              </w:rPr>
              <w:t xml:space="preserve">R6 (closed)</w:t>
            </w:r>
          </w:p>
        </w:tc>
        <w:tc>
          <w:tcPr>
            <w:tcW w:w="3099" w:type="dxa"/>
          </w:tcPr>
          <w:p>
            <w:pPr>
              <w:pStyle w:val="Compact"/>
              <w:spacing w:after="20" w:before="20"/>
              <w:jc w:val="left"/>
            </w:pPr>
            <w:r>
              <w:rPr>
                <w:sz w:val="16"/>
              </w:rPr>
              <w:t xml:space="preserve">UniBench unavailable or unlicensed</w:t>
            </w:r>
          </w:p>
        </w:tc>
        <w:tc>
          <w:tcPr>
            <w:tcW w:w="795" w:type="dxa"/>
          </w:tcPr>
          <w:p>
            <w:pPr>
              <w:pStyle w:val="Compact"/>
              <w:spacing w:after="20" w:before="20"/>
              <w:jc w:val="left"/>
            </w:pPr>
            <w:r>
              <w:rPr>
                <w:sz w:val="16"/>
              </w:rPr>
              <w:t xml:space="preserve">—</w:t>
            </w:r>
          </w:p>
        </w:tc>
        <w:tc>
          <w:tcPr>
            <w:tcW w:w="795" w:type="dxa"/>
          </w:tcPr>
          <w:p>
            <w:pPr>
              <w:pStyle w:val="Compact"/>
              <w:spacing w:after="20" w:before="20"/>
              <w:jc w:val="left"/>
            </w:pPr>
            <w:r>
              <w:rPr>
                <w:sz w:val="16"/>
              </w:rPr>
              <w:t xml:space="preserve">—</w:t>
            </w:r>
          </w:p>
        </w:tc>
        <w:tc>
          <w:tcPr>
            <w:tcW w:w="3071" w:type="dxa"/>
          </w:tcPr>
          <w:p>
            <w:pPr>
              <w:pStyle w:val="Compact"/>
              <w:spacing w:after="20" w:before="20"/>
              <w:jc w:val="left"/>
            </w:pPr>
            <w:r>
              <w:rPr>
                <w:sz w:val="16"/>
              </w:rPr>
              <w:t xml:space="preserve">Closed by ADR-0005: data generated, not downloaded</w:t>
            </w:r>
          </w:p>
        </w:tc>
        <w:tc>
          <w:tcPr>
            <w:tcW w:w="1037" w:type="dxa"/>
          </w:tcPr>
          <w:p>
            <w:pPr>
              <w:pStyle w:val="Compact"/>
              <w:spacing w:after="20" w:before="20"/>
              <w:jc w:val="left"/>
            </w:pPr>
            <w:r>
              <w:rPr>
                <w:sz w:val="16"/>
              </w:rPr>
              <w:t xml:space="preserve">—</w:t>
            </w:r>
          </w:p>
        </w:tc>
      </w:tr>
      <w:tr>
        <w:tc>
          <w:tcPr>
            <w:tcW w:w="993" w:type="dxa"/>
          </w:tcPr>
          <w:p>
            <w:pPr>
              <w:pStyle w:val="Compact"/>
              <w:spacing w:after="20" w:before="20"/>
              <w:jc w:val="left"/>
            </w:pPr>
            <w:r>
              <w:rPr>
                <w:sz w:val="16"/>
              </w:rPr>
              <w:t xml:space="preserve">R8 (reduced)</w:t>
            </w:r>
          </w:p>
        </w:tc>
        <w:tc>
          <w:tcPr>
            <w:tcW w:w="3099" w:type="dxa"/>
          </w:tcPr>
          <w:p>
            <w:pPr>
              <w:pStyle w:val="Compact"/>
              <w:spacing w:after="20" w:before="20"/>
              <w:jc w:val="left"/>
            </w:pPr>
            <w:r>
              <w:rPr>
                <w:sz w:val="16"/>
              </w:rPr>
              <w:t xml:space="preserve">Parser does not expose directive metadata</w:t>
            </w:r>
          </w:p>
        </w:tc>
        <w:tc>
          <w:tcPr>
            <w:tcW w:w="795" w:type="dxa"/>
          </w:tcPr>
          <w:p>
            <w:pPr>
              <w:pStyle w:val="Compact"/>
              <w:spacing w:after="20" w:before="20"/>
              <w:jc w:val="left"/>
            </w:pPr>
            <w:r>
              <w:rPr>
                <w:sz w:val="16"/>
              </w:rPr>
              <w:t xml:space="preserve">Low</w:t>
            </w:r>
          </w:p>
        </w:tc>
        <w:tc>
          <w:tcPr>
            <w:tcW w:w="795" w:type="dxa"/>
          </w:tcPr>
          <w:p>
            <w:pPr>
              <w:pStyle w:val="Compact"/>
              <w:spacing w:after="20" w:before="20"/>
              <w:jc w:val="left"/>
            </w:pPr>
            <w:r>
              <w:rPr>
                <w:sz w:val="16"/>
              </w:rPr>
              <w:t xml:space="preserve">Med</w:t>
            </w:r>
          </w:p>
        </w:tc>
        <w:tc>
          <w:tcPr>
            <w:tcW w:w="3071" w:type="dxa"/>
          </w:tcPr>
          <w:p>
            <w:pPr>
              <w:pStyle w:val="Compact"/>
              <w:spacing w:after="20" w:before="20"/>
              <w:jc w:val="left"/>
            </w:pPr>
            <w:r>
              <w:rPr>
                <w:sz w:val="16"/>
              </w:rPr>
              <w:t xml:space="preserve">graphql-core</w:t>
            </w:r>
            <w:r>
              <w:rPr>
                <w:sz w:val="16"/>
              </w:rPr>
              <w:t xml:space="preserve"> </w:t>
            </w:r>
            <w:r>
              <w:rPr>
                <w:rStyle w:val="VerbatimChar"/>
                <w:sz w:val="16"/>
              </w:rPr>
              <w:t xml:space="preserve">get_directive_values</w:t>
            </w:r>
            <w:r>
              <w:rPr>
                <w:sz w:val="16"/>
              </w:rPr>
              <w:t xml:space="preserve"> </w:t>
            </w:r>
            <w:r>
              <w:rPr>
                <w:sz w:val="16"/>
              </w:rPr>
              <w:t xml:space="preserve">on</w:t>
            </w:r>
            <w:r>
              <w:rPr>
                <w:sz w:val="16"/>
              </w:rPr>
              <w:t xml:space="preserve"> </w:t>
            </w:r>
            <w:r>
              <w:rPr>
                <w:rStyle w:val="VerbatimChar"/>
                <w:sz w:val="16"/>
              </w:rPr>
              <w:t xml:space="preserve">ast_node</w:t>
            </w:r>
            <w:r>
              <w:rPr>
                <w:sz w:val="16"/>
              </w:rPr>
              <w:t xml:space="preserve"> </w:t>
            </w:r>
            <w:r>
              <w:rPr>
                <w:sz w:val="16"/>
              </w:rPr>
              <w:t xml:space="preserve">confirmed; T-U1 proves it in Week 5</w:t>
            </w:r>
          </w:p>
        </w:tc>
        <w:tc>
          <w:tcPr>
            <w:tcW w:w="1037" w:type="dxa"/>
          </w:tcPr>
          <w:p>
            <w:pPr>
              <w:pStyle w:val="Compact"/>
              <w:spacing w:after="20" w:before="20"/>
              <w:jc w:val="left"/>
            </w:pPr>
            <w:r>
              <w:rPr>
                <w:sz w:val="16"/>
              </w:rPr>
              <w:t xml:space="preserve">Low</w:t>
            </w:r>
          </w:p>
        </w:tc>
      </w:tr>
      <w:tr>
        <w:tc>
          <w:tcPr>
            <w:tcW w:w="993" w:type="dxa"/>
          </w:tcPr>
          <w:p>
            <w:pPr>
              <w:pStyle w:val="Compact"/>
              <w:spacing w:after="20" w:before="20"/>
              <w:jc w:val="left"/>
            </w:pPr>
            <w:r>
              <w:rPr>
                <w:sz w:val="16"/>
              </w:rPr>
              <w:t xml:space="preserve">R16</w:t>
            </w:r>
          </w:p>
        </w:tc>
        <w:tc>
          <w:tcPr>
            <w:tcW w:w="3099" w:type="dxa"/>
          </w:tcPr>
          <w:p>
            <w:pPr>
              <w:pStyle w:val="Compact"/>
              <w:spacing w:after="20" w:before="20"/>
              <w:jc w:val="left"/>
            </w:pPr>
            <w:r>
              <w:rPr>
                <w:sz w:val="16"/>
              </w:rPr>
              <w:t xml:space="preserve">Real-person data via UniBench’s Amazon-derived reviews</w:t>
            </w:r>
          </w:p>
        </w:tc>
        <w:tc>
          <w:tcPr>
            <w:tcW w:w="795" w:type="dxa"/>
          </w:tcPr>
          <w:p>
            <w:pPr>
              <w:pStyle w:val="Compact"/>
              <w:spacing w:after="20" w:before="20"/>
              <w:jc w:val="left"/>
            </w:pPr>
            <w:r>
              <w:rPr>
                <w:sz w:val="16"/>
              </w:rPr>
              <w:t xml:space="preserve">Med</w:t>
            </w:r>
          </w:p>
        </w:tc>
        <w:tc>
          <w:tcPr>
            <w:tcW w:w="795" w:type="dxa"/>
          </w:tcPr>
          <w:p>
            <w:pPr>
              <w:pStyle w:val="Compact"/>
              <w:spacing w:after="20" w:before="20"/>
              <w:jc w:val="left"/>
            </w:pPr>
            <w:r>
              <w:rPr>
                <w:sz w:val="16"/>
              </w:rPr>
              <w:t xml:space="preserve">High</w:t>
            </w:r>
          </w:p>
        </w:tc>
        <w:tc>
          <w:tcPr>
            <w:tcW w:w="3071" w:type="dxa"/>
          </w:tcPr>
          <w:p>
            <w:pPr>
              <w:pStyle w:val="Compact"/>
              <w:spacing w:after="20" w:before="20"/>
              <w:jc w:val="left"/>
            </w:pPr>
            <w:r>
              <w:rPr>
                <w:sz w:val="16"/>
              </w:rPr>
              <w:t xml:space="preserve">Generator replaces all data; no UniBench data committed or loaded</w:t>
            </w:r>
          </w:p>
        </w:tc>
        <w:tc>
          <w:tcPr>
            <w:tcW w:w="1037" w:type="dxa"/>
          </w:tcPr>
          <w:p>
            <w:pPr>
              <w:pStyle w:val="Compact"/>
              <w:spacing w:after="20" w:before="20"/>
              <w:jc w:val="left"/>
            </w:pPr>
            <w:r>
              <w:rPr>
                <w:sz w:val="16"/>
              </w:rPr>
              <w:t xml:space="preserve">Low</w:t>
            </w:r>
          </w:p>
        </w:tc>
      </w:tr>
      <w:tr>
        <w:tc>
          <w:tcPr>
            <w:tcW w:w="993" w:type="dxa"/>
          </w:tcPr>
          <w:p>
            <w:pPr>
              <w:pStyle w:val="Compact"/>
              <w:spacing w:after="20" w:before="20"/>
              <w:jc w:val="left"/>
            </w:pPr>
            <w:r>
              <w:rPr>
                <w:sz w:val="16"/>
              </w:rPr>
              <w:t xml:space="preserve">R17</w:t>
            </w:r>
          </w:p>
        </w:tc>
        <w:tc>
          <w:tcPr>
            <w:tcW w:w="3099" w:type="dxa"/>
          </w:tcPr>
          <w:p>
            <w:pPr>
              <w:pStyle w:val="Compact"/>
              <w:spacing w:after="20" w:before="20"/>
              <w:jc w:val="left"/>
            </w:pPr>
            <w:r>
              <w:rPr>
                <w:sz w:val="16"/>
              </w:rPr>
              <w:t xml:space="preserve">Resource asymmetry inflates federation’s apparent speed</w:t>
            </w:r>
          </w:p>
        </w:tc>
        <w:tc>
          <w:tcPr>
            <w:tcW w:w="795" w:type="dxa"/>
          </w:tcPr>
          <w:p>
            <w:pPr>
              <w:pStyle w:val="Compact"/>
              <w:spacing w:after="20" w:before="20"/>
              <w:jc w:val="left"/>
            </w:pPr>
            <w:r>
              <w:rPr>
                <w:sz w:val="16"/>
              </w:rPr>
              <w:t xml:space="preserve">Med</w:t>
            </w:r>
          </w:p>
        </w:tc>
        <w:tc>
          <w:tcPr>
            <w:tcW w:w="795" w:type="dxa"/>
          </w:tcPr>
          <w:p>
            <w:pPr>
              <w:pStyle w:val="Compact"/>
              <w:spacing w:after="20" w:before="20"/>
              <w:jc w:val="left"/>
            </w:pPr>
            <w:r>
              <w:rPr>
                <w:sz w:val="16"/>
              </w:rPr>
              <w:t xml:space="preserve">High</w:t>
            </w:r>
          </w:p>
        </w:tc>
        <w:tc>
          <w:tcPr>
            <w:tcW w:w="3071" w:type="dxa"/>
          </w:tcPr>
          <w:p>
            <w:pPr>
              <w:pStyle w:val="Compact"/>
              <w:spacing w:after="20" w:before="20"/>
              <w:jc w:val="left"/>
            </w:pPr>
            <w:r>
              <w:rPr>
                <w:sz w:val="16"/>
              </w:rPr>
              <w:t xml:space="preserve">Shared cpuset, identical limits and caches (§8.3)</w:t>
            </w:r>
          </w:p>
        </w:tc>
        <w:tc>
          <w:tcPr>
            <w:tcW w:w="1037" w:type="dxa"/>
          </w:tcPr>
          <w:p>
            <w:pPr>
              <w:pStyle w:val="Compact"/>
              <w:spacing w:after="20" w:before="20"/>
              <w:jc w:val="left"/>
            </w:pPr>
            <w:r>
              <w:rPr>
                <w:sz w:val="16"/>
              </w:rPr>
              <w:t xml:space="preserve">Low</w:t>
            </w:r>
          </w:p>
        </w:tc>
      </w:tr>
      <w:tr>
        <w:tc>
          <w:tcPr>
            <w:tcW w:w="993" w:type="dxa"/>
          </w:tcPr>
          <w:p>
            <w:pPr>
              <w:pStyle w:val="Compact"/>
              <w:spacing w:after="20" w:before="20"/>
              <w:jc w:val="left"/>
            </w:pPr>
            <w:r>
              <w:rPr>
                <w:sz w:val="16"/>
              </w:rPr>
              <w:t xml:space="preserve">R18</w:t>
            </w:r>
          </w:p>
        </w:tc>
        <w:tc>
          <w:tcPr>
            <w:tcW w:w="3099" w:type="dxa"/>
          </w:tcPr>
          <w:p>
            <w:pPr>
              <w:pStyle w:val="Compact"/>
              <w:spacing w:after="20" w:before="20"/>
              <w:jc w:val="left"/>
            </w:pPr>
            <w:r>
              <w:rPr>
                <w:sz w:val="16"/>
              </w:rPr>
              <w:t xml:space="preserve">Python engine overhead dominates small-k timings, so the crossover measures the language, not the architecture</w:t>
            </w:r>
          </w:p>
        </w:tc>
        <w:tc>
          <w:tcPr>
            <w:tcW w:w="795" w:type="dxa"/>
          </w:tcPr>
          <w:p>
            <w:pPr>
              <w:pStyle w:val="Compact"/>
              <w:spacing w:after="20" w:before="20"/>
              <w:jc w:val="left"/>
            </w:pPr>
            <w:r>
              <w:rPr>
                <w:sz w:val="16"/>
              </w:rPr>
              <w:t xml:space="preserve">High</w:t>
            </w:r>
          </w:p>
        </w:tc>
        <w:tc>
          <w:tcPr>
            <w:tcW w:w="795" w:type="dxa"/>
          </w:tcPr>
          <w:p>
            <w:pPr>
              <w:pStyle w:val="Compact"/>
              <w:spacing w:after="20" w:before="20"/>
              <w:jc w:val="left"/>
            </w:pPr>
            <w:r>
              <w:rPr>
                <w:sz w:val="16"/>
              </w:rPr>
              <w:t xml:space="preserve">Med</w:t>
            </w:r>
          </w:p>
        </w:tc>
        <w:tc>
          <w:tcPr>
            <w:tcW w:w="3071" w:type="dxa"/>
          </w:tcPr>
          <w:p>
            <w:pPr>
              <w:pStyle w:val="Compact"/>
              <w:spacing w:after="20" w:before="20"/>
              <w:jc w:val="left"/>
            </w:pPr>
            <w:r>
              <w:rPr>
                <w:sz w:val="16"/>
              </w:rPr>
              <w:t xml:space="preserve">Span breakdown; report crossover with and without engine overhead</w:t>
            </w:r>
          </w:p>
        </w:tc>
        <w:tc>
          <w:tcPr>
            <w:tcW w:w="1037" w:type="dxa"/>
          </w:tcPr>
          <w:p>
            <w:pPr>
              <w:pStyle w:val="Compact"/>
              <w:spacing w:after="20" w:before="20"/>
              <w:jc w:val="left"/>
            </w:pPr>
            <w:r>
              <w:rPr>
                <w:sz w:val="16"/>
              </w:rPr>
              <w:t xml:space="preserve">Med: disclosed</w:t>
            </w:r>
          </w:p>
        </w:tc>
      </w:tr>
      <w:tr>
        <w:tc>
          <w:tcPr>
            <w:tcW w:w="993" w:type="dxa"/>
          </w:tcPr>
          <w:p>
            <w:pPr>
              <w:pStyle w:val="Compact"/>
              <w:spacing w:after="20" w:before="20"/>
              <w:jc w:val="left"/>
            </w:pPr>
            <w:r>
              <w:rPr>
                <w:sz w:val="16"/>
              </w:rPr>
              <w:t xml:space="preserve">R19</w:t>
            </w:r>
          </w:p>
        </w:tc>
        <w:tc>
          <w:tcPr>
            <w:tcW w:w="3099" w:type="dxa"/>
          </w:tcPr>
          <w:p>
            <w:pPr>
              <w:pStyle w:val="Compact"/>
              <w:spacing w:after="20" w:before="20"/>
              <w:jc w:val="left"/>
            </w:pPr>
            <w:r>
              <w:rPr>
                <w:sz w:val="16"/>
              </w:rPr>
              <w:t xml:space="preserve">Hasura local build needs hosted service and login; image drift</w:t>
            </w:r>
          </w:p>
        </w:tc>
        <w:tc>
          <w:tcPr>
            <w:tcW w:w="795" w:type="dxa"/>
          </w:tcPr>
          <w:p>
            <w:pPr>
              <w:pStyle w:val="Compact"/>
              <w:spacing w:after="20" w:before="20"/>
              <w:jc w:val="left"/>
            </w:pPr>
            <w:r>
              <w:rPr>
                <w:sz w:val="16"/>
              </w:rPr>
              <w:t xml:space="preserve">Med</w:t>
            </w:r>
          </w:p>
        </w:tc>
        <w:tc>
          <w:tcPr>
            <w:tcW w:w="795" w:type="dxa"/>
          </w:tcPr>
          <w:p>
            <w:pPr>
              <w:pStyle w:val="Compact"/>
              <w:spacing w:after="20" w:before="20"/>
              <w:jc w:val="left"/>
            </w:pPr>
            <w:r>
              <w:rPr>
                <w:sz w:val="16"/>
              </w:rPr>
              <w:t xml:space="preserve">Med</w:t>
            </w:r>
          </w:p>
        </w:tc>
        <w:tc>
          <w:tcPr>
            <w:tcW w:w="3071" w:type="dxa"/>
          </w:tcPr>
          <w:p>
            <w:pPr>
              <w:pStyle w:val="Compact"/>
              <w:spacing w:after="20" w:before="20"/>
              <w:jc w:val="left"/>
            </w:pPr>
            <w:r>
              <w:rPr>
                <w:sz w:val="16"/>
              </w:rPr>
              <w:t xml:space="preserve">Spike S-1; pinned digests; Mesh fallback</w:t>
            </w:r>
          </w:p>
        </w:tc>
        <w:tc>
          <w:tcPr>
            <w:tcW w:w="1037" w:type="dxa"/>
          </w:tcPr>
          <w:p>
            <w:pPr>
              <w:pStyle w:val="Compact"/>
              <w:spacing w:after="20" w:before="20"/>
              <w:jc w:val="left"/>
            </w:pPr>
            <w:r>
              <w:rPr>
                <w:sz w:val="16"/>
              </w:rPr>
              <w:t xml:space="preserve">Low</w:t>
            </w:r>
          </w:p>
        </w:tc>
      </w:tr>
      <w:tr>
        <w:tc>
          <w:tcPr>
            <w:tcW w:w="993" w:type="dxa"/>
          </w:tcPr>
          <w:p>
            <w:pPr>
              <w:pStyle w:val="Compact"/>
              <w:spacing w:after="20" w:before="20"/>
              <w:jc w:val="left"/>
            </w:pPr>
            <w:r>
              <w:rPr>
                <w:sz w:val="16"/>
              </w:rPr>
              <w:t xml:space="preserve">R20</w:t>
            </w:r>
          </w:p>
        </w:tc>
        <w:tc>
          <w:tcPr>
            <w:tcW w:w="3099" w:type="dxa"/>
          </w:tcPr>
          <w:p>
            <w:pPr>
              <w:pStyle w:val="Compact"/>
              <w:spacing w:after="20" w:before="20"/>
              <w:jc w:val="left"/>
            </w:pPr>
            <w:r>
              <w:rPr>
                <w:sz w:val="16"/>
              </w:rPr>
              <w:t xml:space="preserve">Bind-join batch size B shifts the crossover</w:t>
            </w:r>
          </w:p>
        </w:tc>
        <w:tc>
          <w:tcPr>
            <w:tcW w:w="795" w:type="dxa"/>
          </w:tcPr>
          <w:p>
            <w:pPr>
              <w:pStyle w:val="Compact"/>
              <w:spacing w:after="20" w:before="20"/>
              <w:jc w:val="left"/>
            </w:pPr>
            <w:r>
              <w:rPr>
                <w:sz w:val="16"/>
              </w:rPr>
              <w:t xml:space="preserve">Med</w:t>
            </w:r>
          </w:p>
        </w:tc>
        <w:tc>
          <w:tcPr>
            <w:tcW w:w="795" w:type="dxa"/>
          </w:tcPr>
          <w:p>
            <w:pPr>
              <w:pStyle w:val="Compact"/>
              <w:spacing w:after="20" w:before="20"/>
              <w:jc w:val="left"/>
            </w:pPr>
            <w:r>
              <w:rPr>
                <w:sz w:val="16"/>
              </w:rPr>
              <w:t xml:space="preserve">Med</w:t>
            </w:r>
          </w:p>
        </w:tc>
        <w:tc>
          <w:tcPr>
            <w:tcW w:w="3071" w:type="dxa"/>
          </w:tcPr>
          <w:p>
            <w:pPr>
              <w:pStyle w:val="Compact"/>
              <w:spacing w:after="20" w:before="20"/>
              <w:jc w:val="left"/>
            </w:pPr>
            <w:r>
              <w:rPr>
                <w:sz w:val="16"/>
              </w:rPr>
              <w:t xml:space="preserve">B fixed at 1,000 before measurement; one sensitivity run at B = 100 and 10,000 on W5, reported</w:t>
            </w:r>
          </w:p>
        </w:tc>
        <w:tc>
          <w:tcPr>
            <w:tcW w:w="1037" w:type="dxa"/>
          </w:tcPr>
          <w:p>
            <w:pPr>
              <w:pStyle w:val="Compact"/>
              <w:spacing w:after="20" w:before="20"/>
              <w:jc w:val="left"/>
            </w:pPr>
            <w:r>
              <w:rPr>
                <w:sz w:val="16"/>
              </w:rPr>
              <w:t xml:space="preserve">Low</w:t>
            </w:r>
          </w:p>
        </w:tc>
      </w:tr>
      <w:tr>
        <w:tc>
          <w:tcPr>
            <w:tcW w:w="993" w:type="dxa"/>
          </w:tcPr>
          <w:p>
            <w:pPr>
              <w:pStyle w:val="Compact"/>
              <w:spacing w:after="20" w:before="20"/>
              <w:jc w:val="left"/>
            </w:pPr>
            <w:r>
              <w:rPr>
                <w:sz w:val="16"/>
              </w:rPr>
              <w:t xml:space="preserve">R21</w:t>
            </w:r>
          </w:p>
        </w:tc>
        <w:tc>
          <w:tcPr>
            <w:tcW w:w="3099" w:type="dxa"/>
          </w:tcPr>
          <w:p>
            <w:pPr>
              <w:pStyle w:val="Compact"/>
              <w:spacing w:after="20" w:before="20"/>
              <w:jc w:val="left"/>
            </w:pPr>
            <w:r>
              <w:rPr>
                <w:sz w:val="16"/>
              </w:rPr>
              <w:t xml:space="preserve">16 GB RAM is tight for three DB containers plus runner</w:t>
            </w:r>
          </w:p>
        </w:tc>
        <w:tc>
          <w:tcPr>
            <w:tcW w:w="795" w:type="dxa"/>
          </w:tcPr>
          <w:p>
            <w:pPr>
              <w:pStyle w:val="Compact"/>
              <w:spacing w:after="20" w:before="20"/>
              <w:jc w:val="left"/>
            </w:pPr>
            <w:r>
              <w:rPr>
                <w:sz w:val="16"/>
              </w:rPr>
              <w:t xml:space="preserve">Med</w:t>
            </w:r>
          </w:p>
        </w:tc>
        <w:tc>
          <w:tcPr>
            <w:tcW w:w="795" w:type="dxa"/>
          </w:tcPr>
          <w:p>
            <w:pPr>
              <w:pStyle w:val="Compact"/>
              <w:spacing w:after="20" w:before="20"/>
              <w:jc w:val="left"/>
            </w:pPr>
            <w:r>
              <w:rPr>
                <w:sz w:val="16"/>
              </w:rPr>
              <w:t xml:space="preserve">Med</w:t>
            </w:r>
          </w:p>
        </w:tc>
        <w:tc>
          <w:tcPr>
            <w:tcW w:w="3071" w:type="dxa"/>
          </w:tcPr>
          <w:p>
            <w:pPr>
              <w:pStyle w:val="Compact"/>
              <w:spacing w:after="20" w:before="20"/>
              <w:jc w:val="left"/>
            </w:pPr>
            <w:r>
              <w:rPr>
                <w:sz w:val="16"/>
              </w:rPr>
              <w:t xml:space="preserve">3 GB limits; Hasura stopped during timing; S can be reduced at HS3</w:t>
            </w:r>
          </w:p>
        </w:tc>
        <w:tc>
          <w:tcPr>
            <w:tcW w:w="1037" w:type="dxa"/>
          </w:tcPr>
          <w:p>
            <w:pPr>
              <w:pStyle w:val="Compact"/>
              <w:spacing w:after="20" w:before="20"/>
              <w:jc w:val="left"/>
            </w:pPr>
            <w:r>
              <w:rPr>
                <w:sz w:val="16"/>
              </w:rPr>
              <w:t xml:space="preserve">Low</w:t>
            </w:r>
          </w:p>
        </w:tc>
      </w:tr>
      <w:tr>
        <w:tc>
          <w:tcPr>
            <w:tcW w:w="993" w:type="dxa"/>
          </w:tcPr>
          <w:p>
            <w:pPr>
              <w:pStyle w:val="Compact"/>
              <w:spacing w:after="20" w:before="20"/>
              <w:jc w:val="left"/>
            </w:pPr>
            <w:r>
              <w:rPr>
                <w:sz w:val="16"/>
              </w:rPr>
              <w:t xml:space="preserve">R22</w:t>
            </w:r>
          </w:p>
        </w:tc>
        <w:tc>
          <w:tcPr>
            <w:tcW w:w="3099" w:type="dxa"/>
          </w:tcPr>
          <w:p>
            <w:pPr>
              <w:pStyle w:val="Compact"/>
              <w:spacing w:after="20" w:before="20"/>
              <w:jc w:val="left"/>
            </w:pPr>
            <w:r>
              <w:rPr>
                <w:sz w:val="16"/>
              </w:rPr>
              <w:t xml:space="preserve">Generator is new work and delays M3</w:t>
            </w:r>
          </w:p>
        </w:tc>
        <w:tc>
          <w:tcPr>
            <w:tcW w:w="795" w:type="dxa"/>
          </w:tcPr>
          <w:p>
            <w:pPr>
              <w:pStyle w:val="Compact"/>
              <w:spacing w:after="20" w:before="20"/>
              <w:jc w:val="left"/>
            </w:pPr>
            <w:r>
              <w:rPr>
                <w:sz w:val="16"/>
              </w:rPr>
              <w:t xml:space="preserve">Med</w:t>
            </w:r>
          </w:p>
        </w:tc>
        <w:tc>
          <w:tcPr>
            <w:tcW w:w="795" w:type="dxa"/>
          </w:tcPr>
          <w:p>
            <w:pPr>
              <w:pStyle w:val="Compact"/>
              <w:spacing w:after="20" w:before="20"/>
              <w:jc w:val="left"/>
            </w:pPr>
            <w:r>
              <w:rPr>
                <w:sz w:val="16"/>
              </w:rPr>
              <w:t xml:space="preserve">Med</w:t>
            </w:r>
          </w:p>
        </w:tc>
        <w:tc>
          <w:tcPr>
            <w:tcW w:w="3071" w:type="dxa"/>
          </w:tcPr>
          <w:p>
            <w:pPr>
              <w:pStyle w:val="Compact"/>
              <w:spacing w:after="20" w:before="20"/>
              <w:jc w:val="left"/>
            </w:pPr>
            <w:r>
              <w:rPr>
                <w:sz w:val="16"/>
              </w:rPr>
              <w:t xml:space="preserve">M3 moved to Week 6; generator is small and tested by T-D1</w:t>
            </w:r>
          </w:p>
        </w:tc>
        <w:tc>
          <w:tcPr>
            <w:tcW w:w="1037" w:type="dxa"/>
          </w:tcPr>
          <w:p>
            <w:pPr>
              <w:pStyle w:val="Compact"/>
              <w:spacing w:after="20" w:before="20"/>
              <w:jc w:val="left"/>
            </w:pPr>
            <w:r>
              <w:rPr>
                <w:sz w:val="16"/>
              </w:rPr>
              <w:t xml:space="preserve">Low</w:t>
            </w:r>
          </w:p>
        </w:tc>
      </w:tr>
    </w:tbl>
    <w:bookmarkEnd w:id="75"/>
    <w:bookmarkStart w:id="76" w:name="missing-dependencies"/>
    <w:p>
      <w:pPr>
        <w:pStyle w:val="Heading2"/>
      </w:pPr>
      <w:r>
        <w:t xml:space="preserve">12.3 Missing dependencies</w:t>
      </w:r>
    </w:p>
    <w:tbl>
      <w:tblPr>
        <w:tblStyle w:val="Table"/>
        <w:tblLook w:firstRow="1" w:lastRow="0" w:firstColumn="0" w:lastColumn="0" w:noHBand="0" w:noVBand="0" w:val="0020"/>
        <w:jc w:val="start"/>
        <w:tblW w:w="9789"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3334"/>
        <w:gridCol w:w="1771"/>
        <w:gridCol w:w="3486"/>
        <w:gridCol w:w="1198"/>
      </w:tblGrid>
      <w:tr>
        <w:trPr>
          <w:tblHeader w:val="true"/>
          <w:tblHeader w:val="true"/>
        </w:trPr>
        <w:tc>
          <w:tcPr>
            <w:tcW w:w="3334" w:type="dxa"/>
            <w:shd w:val="clear" w:color="auto" w:fill="DCE6F2"/>
          </w:tcPr>
          <w:p>
            <w:pPr>
              <w:pStyle w:val="Compact"/>
              <w:spacing w:after="20" w:before="20"/>
              <w:jc w:val="left"/>
            </w:pPr>
            <w:r>
              <w:rPr>
                <w:b/>
                <w:sz w:val="18"/>
              </w:rPr>
              <w:t xml:space="preserve">Dependency</w:t>
            </w:r>
          </w:p>
        </w:tc>
        <w:tc>
          <w:tcPr>
            <w:tcW w:w="1771" w:type="dxa"/>
            <w:shd w:val="clear" w:color="auto" w:fill="DCE6F2"/>
          </w:tcPr>
          <w:p>
            <w:pPr>
              <w:pStyle w:val="Compact"/>
              <w:spacing w:after="20" w:before="20"/>
              <w:jc w:val="left"/>
            </w:pPr>
            <w:r>
              <w:rPr>
                <w:b/>
                <w:sz w:val="18"/>
              </w:rPr>
              <w:t xml:space="preserve">State</w:t>
            </w:r>
          </w:p>
        </w:tc>
        <w:tc>
          <w:tcPr>
            <w:tcW w:w="3486" w:type="dxa"/>
            <w:shd w:val="clear" w:color="auto" w:fill="DCE6F2"/>
          </w:tcPr>
          <w:p>
            <w:pPr>
              <w:pStyle w:val="Compact"/>
              <w:spacing w:after="20" w:before="20"/>
              <w:jc w:val="left"/>
            </w:pPr>
            <w:r>
              <w:rPr>
                <w:b/>
                <w:sz w:val="18"/>
              </w:rPr>
              <w:t xml:space="preserve">Owner action</w:t>
            </w:r>
          </w:p>
        </w:tc>
        <w:tc>
          <w:tcPr>
            <w:tcW w:w="1198" w:type="dxa"/>
            <w:shd w:val="clear" w:color="auto" w:fill="DCE6F2"/>
          </w:tcPr>
          <w:p>
            <w:pPr>
              <w:pStyle w:val="Compact"/>
              <w:spacing w:after="20" w:before="20"/>
              <w:jc w:val="left"/>
            </w:pPr>
            <w:r>
              <w:rPr>
                <w:b/>
                <w:sz w:val="18"/>
              </w:rPr>
              <w:t xml:space="preserve">Due</w:t>
            </w:r>
          </w:p>
        </w:tc>
      </w:tr>
      <w:tr>
        <w:tc>
          <w:tcPr>
            <w:tcW w:w="3334" w:type="dxa"/>
          </w:tcPr>
          <w:p>
            <w:pPr>
              <w:pStyle w:val="Compact"/>
              <w:spacing w:after="20" w:before="20"/>
              <w:jc w:val="left"/>
            </w:pPr>
            <w:r>
              <w:rPr>
                <w:sz w:val="18"/>
              </w:rPr>
              <w:t xml:space="preserve">Hasura Cloud login + terms on published comparisons</w:t>
            </w:r>
          </w:p>
        </w:tc>
        <w:tc>
          <w:tcPr>
            <w:tcW w:w="1771" w:type="dxa"/>
          </w:tcPr>
          <w:p>
            <w:pPr>
              <w:pStyle w:val="Compact"/>
              <w:spacing w:after="20" w:before="20"/>
              <w:jc w:val="left"/>
            </w:pPr>
            <w:r>
              <w:rPr>
                <w:sz w:val="18"/>
              </w:rPr>
              <w:t xml:space="preserve">Unverified</w:t>
            </w:r>
          </w:p>
        </w:tc>
        <w:tc>
          <w:tcPr>
            <w:tcW w:w="3486" w:type="dxa"/>
          </w:tcPr>
          <w:p>
            <w:pPr>
              <w:pStyle w:val="Compact"/>
              <w:spacing w:after="20" w:before="20"/>
              <w:jc w:val="left"/>
            </w:pPr>
            <w:r>
              <w:rPr>
                <w:sz w:val="18"/>
              </w:rPr>
              <w:t xml:space="preserve">Spike S-1</w:t>
            </w:r>
          </w:p>
        </w:tc>
        <w:tc>
          <w:tcPr>
            <w:tcW w:w="1198" w:type="dxa"/>
          </w:tcPr>
          <w:p>
            <w:pPr>
              <w:pStyle w:val="Compact"/>
              <w:spacing w:after="20" w:before="20"/>
              <w:jc w:val="left"/>
            </w:pPr>
            <w:r>
              <w:rPr>
                <w:sz w:val="18"/>
              </w:rPr>
              <w:t xml:space="preserve">Week 5</w:t>
            </w:r>
          </w:p>
        </w:tc>
      </w:tr>
      <w:tr>
        <w:tc>
          <w:tcPr>
            <w:tcW w:w="3334" w:type="dxa"/>
          </w:tcPr>
          <w:p>
            <w:pPr>
              <w:pStyle w:val="Compact"/>
              <w:spacing w:after="20" w:before="20"/>
              <w:jc w:val="left"/>
            </w:pPr>
            <w:r>
              <w:rPr>
                <w:sz w:val="18"/>
              </w:rPr>
              <w:t xml:space="preserve">Exact CPU core count of the laptop</w:t>
            </w:r>
          </w:p>
        </w:tc>
        <w:tc>
          <w:tcPr>
            <w:tcW w:w="1771" w:type="dxa"/>
          </w:tcPr>
          <w:p>
            <w:pPr>
              <w:pStyle w:val="Compact"/>
              <w:spacing w:after="20" w:before="20"/>
              <w:jc w:val="left"/>
            </w:pPr>
            <w:r>
              <w:rPr>
                <w:sz w:val="18"/>
              </w:rPr>
              <w:t xml:space="preserve">Unknown</w:t>
            </w:r>
          </w:p>
        </w:tc>
        <w:tc>
          <w:tcPr>
            <w:tcW w:w="3486" w:type="dxa"/>
          </w:tcPr>
          <w:p>
            <w:pPr>
              <w:pStyle w:val="Compact"/>
              <w:spacing w:after="20" w:before="20"/>
              <w:jc w:val="left"/>
            </w:pPr>
            <w:r>
              <w:rPr>
                <w:rStyle w:val="VerbatimChar"/>
                <w:sz w:val="18"/>
              </w:rPr>
              <w:t xml:space="preserve">lscpu</w:t>
            </w:r>
            <w:r>
              <w:rPr>
                <w:sz w:val="18"/>
              </w:rPr>
              <w:t xml:space="preserve"> </w:t>
            </w:r>
            <w:r>
              <w:rPr>
                <w:sz w:val="18"/>
              </w:rPr>
              <w:t xml:space="preserve">into manifest; adjust §8.2 limits</w:t>
            </w:r>
          </w:p>
        </w:tc>
        <w:tc>
          <w:tcPr>
            <w:tcW w:w="1198" w:type="dxa"/>
          </w:tcPr>
          <w:p>
            <w:pPr>
              <w:pStyle w:val="Compact"/>
              <w:spacing w:after="20" w:before="20"/>
              <w:jc w:val="left"/>
            </w:pPr>
            <w:r>
              <w:rPr>
                <w:sz w:val="18"/>
              </w:rPr>
              <w:t xml:space="preserve">Week 5</w:t>
            </w:r>
          </w:p>
        </w:tc>
      </w:tr>
      <w:tr>
        <w:tc>
          <w:tcPr>
            <w:tcW w:w="3334" w:type="dxa"/>
          </w:tcPr>
          <w:p>
            <w:pPr>
              <w:pStyle w:val="Compact"/>
              <w:spacing w:after="20" w:before="20"/>
              <w:jc w:val="left"/>
            </w:pPr>
            <w:r>
              <w:rPr>
                <w:sz w:val="18"/>
              </w:rPr>
              <w:t xml:space="preserve">UniBench SF1 row counts for</w:t>
            </w:r>
            <w:r>
              <w:rPr>
                <w:sz w:val="18"/>
              </w:rPr>
              <w:t xml:space="preserve"> </w:t>
            </w:r>
            <w:r>
              <w:rPr>
                <w:rStyle w:val="VerbatimChar"/>
                <w:sz w:val="18"/>
              </w:rPr>
              <w:t xml:space="preserve">ratios.json</w:t>
            </w:r>
          </w:p>
        </w:tc>
        <w:tc>
          <w:tcPr>
            <w:tcW w:w="1771" w:type="dxa"/>
          </w:tcPr>
          <w:p>
            <w:pPr>
              <w:pStyle w:val="Compact"/>
              <w:spacing w:after="20" w:before="20"/>
              <w:jc w:val="left"/>
            </w:pPr>
            <w:r>
              <w:rPr>
                <w:sz w:val="18"/>
              </w:rPr>
              <w:t xml:space="preserve">Not yet counted</w:t>
            </w:r>
          </w:p>
        </w:tc>
        <w:tc>
          <w:tcPr>
            <w:tcW w:w="3486" w:type="dxa"/>
          </w:tcPr>
          <w:p>
            <w:pPr>
              <w:pStyle w:val="Compact"/>
              <w:spacing w:after="20" w:before="20"/>
              <w:jc w:val="left"/>
            </w:pPr>
            <w:r>
              <w:rPr>
                <w:sz w:val="18"/>
              </w:rPr>
              <w:t xml:space="preserve">Download release locally, count rows, delete data, commit counts only</w:t>
            </w:r>
          </w:p>
        </w:tc>
        <w:tc>
          <w:tcPr>
            <w:tcW w:w="1198" w:type="dxa"/>
          </w:tcPr>
          <w:p>
            <w:pPr>
              <w:pStyle w:val="Compact"/>
              <w:spacing w:after="20" w:before="20"/>
              <w:jc w:val="left"/>
            </w:pPr>
            <w:r>
              <w:rPr>
                <w:sz w:val="18"/>
              </w:rPr>
              <w:t xml:space="preserve">Week 5</w:t>
            </w:r>
          </w:p>
        </w:tc>
      </w:tr>
      <w:tr>
        <w:tc>
          <w:tcPr>
            <w:tcW w:w="3334" w:type="dxa"/>
          </w:tcPr>
          <w:p>
            <w:pPr>
              <w:pStyle w:val="Compact"/>
              <w:spacing w:after="20" w:before="20"/>
              <w:jc w:val="left"/>
            </w:pPr>
            <w:r>
              <w:rPr>
                <w:sz w:val="18"/>
              </w:rPr>
              <w:t xml:space="preserve">Second machine for the Week 13 rehearsal</w:t>
            </w:r>
          </w:p>
        </w:tc>
        <w:tc>
          <w:tcPr>
            <w:tcW w:w="1771" w:type="dxa"/>
          </w:tcPr>
          <w:p>
            <w:pPr>
              <w:pStyle w:val="Compact"/>
              <w:spacing w:after="20" w:before="20"/>
              <w:jc w:val="left"/>
            </w:pPr>
            <w:r>
              <w:rPr>
                <w:sz w:val="18"/>
              </w:rPr>
              <w:t xml:space="preserve">Not identified</w:t>
            </w:r>
          </w:p>
        </w:tc>
        <w:tc>
          <w:tcPr>
            <w:tcW w:w="3486" w:type="dxa"/>
          </w:tcPr>
          <w:p>
            <w:pPr>
              <w:pStyle w:val="Compact"/>
              <w:spacing w:after="20" w:before="20"/>
              <w:jc w:val="left"/>
            </w:pPr>
            <w:r>
              <w:rPr>
                <w:sz w:val="18"/>
              </w:rPr>
              <w:t xml:space="preserve">Ask supervisor or use a cloud VM free tier</w:t>
            </w:r>
          </w:p>
        </w:tc>
        <w:tc>
          <w:tcPr>
            <w:tcW w:w="1198" w:type="dxa"/>
          </w:tcPr>
          <w:p>
            <w:pPr>
              <w:pStyle w:val="Compact"/>
              <w:spacing w:after="20" w:before="20"/>
              <w:jc w:val="left"/>
            </w:pPr>
            <w:r>
              <w:rPr>
                <w:sz w:val="18"/>
              </w:rPr>
              <w:t xml:space="preserve">Week 9</w:t>
            </w:r>
          </w:p>
        </w:tc>
      </w:tr>
      <w:tr>
        <w:tc>
          <w:tcPr>
            <w:tcW w:w="3334" w:type="dxa"/>
          </w:tcPr>
          <w:p>
            <w:pPr>
              <w:pStyle w:val="Compact"/>
              <w:spacing w:after="20" w:before="20"/>
              <w:jc w:val="left"/>
            </w:pPr>
            <w:r>
              <w:rPr>
                <w:sz w:val="18"/>
              </w:rPr>
              <w:t xml:space="preserve">IRB position in writing (HS1 Decision 6)</w:t>
            </w:r>
          </w:p>
        </w:tc>
        <w:tc>
          <w:tcPr>
            <w:tcW w:w="1771" w:type="dxa"/>
          </w:tcPr>
          <w:p>
            <w:pPr>
              <w:pStyle w:val="Compact"/>
              <w:spacing w:after="20" w:before="20"/>
              <w:jc w:val="left"/>
            </w:pPr>
            <w:r>
              <w:rPr>
                <w:sz w:val="18"/>
              </w:rPr>
              <w:t xml:space="preserve">Pending</w:t>
            </w:r>
          </w:p>
        </w:tc>
        <w:tc>
          <w:tcPr>
            <w:tcW w:w="3486" w:type="dxa"/>
          </w:tcPr>
          <w:p>
            <w:pPr>
              <w:pStyle w:val="Compact"/>
              <w:spacing w:after="20" w:before="20"/>
              <w:jc w:val="left"/>
            </w:pPr>
            <w:r>
              <w:rPr>
                <w:sz w:val="18"/>
              </w:rPr>
              <w:t xml:space="preserve">Supervisor</w:t>
            </w:r>
          </w:p>
        </w:tc>
        <w:tc>
          <w:tcPr>
            <w:tcW w:w="1198" w:type="dxa"/>
          </w:tcPr>
          <w:p>
            <w:pPr>
              <w:pStyle w:val="Compact"/>
              <w:spacing w:after="20" w:before="20"/>
              <w:jc w:val="left"/>
            </w:pPr>
            <w:r>
              <w:rPr>
                <w:sz w:val="18"/>
              </w:rPr>
              <w:t xml:space="preserve">HS3</w:t>
            </w:r>
          </w:p>
        </w:tc>
      </w:tr>
    </w:tbl>
    <w:bookmarkEnd w:id="76"/>
    <w:bookmarkStart w:id="77" w:name="Xde8ebdc5ab51de5e614dcadee7c436a590afbe6"/>
    <w:p>
      <w:pPr>
        <w:pStyle w:val="Heading2"/>
      </w:pPr>
      <w:r>
        <w:t xml:space="preserve">12.4 Evaluation gaps that remain after this design</w:t>
      </w:r>
    </w:p>
    <w:p>
      <w:pPr>
        <w:numPr>
          <w:ilvl w:val="0"/>
          <w:numId w:val="1008"/>
        </w:numPr>
        <w:pStyle w:val="Compact"/>
      </w:pPr>
      <w:r>
        <w:rPr>
          <w:bCs/>
          <w:b/>
        </w:rPr>
        <w:t xml:space="preserve">SC-6 measures configuration effort, not comprehension.</w:t>
      </w:r>
      <w:r>
        <w:t xml:space="preserve"> </w:t>
      </w:r>
      <w:r>
        <w:t xml:space="preserve">Counting files and concepts cannot show that visible placement helps a developer reason about performance. Only the conditional usability study (E-7) could, and it may be cut.</w:t>
      </w:r>
    </w:p>
    <w:p>
      <w:pPr>
        <w:numPr>
          <w:ilvl w:val="0"/>
          <w:numId w:val="1008"/>
        </w:numPr>
        <w:pStyle w:val="Compact"/>
      </w:pPr>
      <w:r>
        <w:rPr>
          <w:bCs/>
          <w:b/>
        </w:rPr>
        <w:t xml:space="preserve">One query shape carries the crossover.</w:t>
      </w:r>
      <w:r>
        <w:t xml:space="preserve"> </w:t>
      </w:r>
      <w:r>
        <w:t xml:space="preserve">W5 is the only swept template; a different join shape could cross elsewhere. The report scopes the finding to W5’s shape.</w:t>
      </w:r>
    </w:p>
    <w:p>
      <w:pPr>
        <w:numPr>
          <w:ilvl w:val="0"/>
          <w:numId w:val="1008"/>
        </w:numPr>
        <w:pStyle w:val="Compact"/>
      </w:pPr>
      <w:r>
        <w:rPr>
          <w:bCs/>
          <w:b/>
        </w:rPr>
        <w:t xml:space="preserve">No cold-cache results.</w:t>
      </w:r>
      <w:r>
        <w:t xml:space="preserve"> </w:t>
      </w:r>
      <w:r>
        <w:t xml:space="preserve">Warm caches favour whichever arm re-reads more. Cold-cache runs are an extension.</w:t>
      </w:r>
    </w:p>
    <w:p>
      <w:pPr>
        <w:numPr>
          <w:ilvl w:val="0"/>
          <w:numId w:val="1008"/>
        </w:numPr>
        <w:pStyle w:val="Compact"/>
      </w:pPr>
      <w:r>
        <w:rPr>
          <w:bCs/>
          <w:b/>
        </w:rPr>
        <w:t xml:space="preserve">A2 is hand-written SQL, not the engine.</w:t>
      </w:r>
      <w:r>
        <w:t xml:space="preserve"> </w:t>
      </w:r>
      <w:r>
        <w:t xml:space="preserve">It measures the best consolidated plan, not the engine running on consolidated placement. An engine-on-consolidated arm needs same-store join pushdown, which is not in scope; the gap is stated.</w:t>
      </w:r>
    </w:p>
    <w:p>
      <w:pPr>
        <w:numPr>
          <w:ilvl w:val="0"/>
          <w:numId w:val="1008"/>
        </w:numPr>
        <w:pStyle w:val="Compact"/>
      </w:pPr>
      <w:r>
        <w:rPr>
          <w:bCs/>
          <w:b/>
        </w:rPr>
        <w:t xml:space="preserve">Absolute times do not transfer.</w:t>
      </w:r>
      <w:r>
        <w:t xml:space="preserve"> </w:t>
      </w:r>
      <w:r>
        <w:t xml:space="preserve">Only the relative ordering of arms is claimed beyond this hardware.</w:t>
      </w:r>
    </w:p>
    <w:bookmarkEnd w:id="77"/>
    <w:bookmarkEnd w:id="78"/>
    <w:bookmarkStart w:id="82" w:name="Xe47dd74ecb28f499092df69d11f7a06d9d36991"/>
    <w:p>
      <w:pPr>
        <w:pStyle w:val="Heading1"/>
      </w:pPr>
      <w:r>
        <w:t xml:space="preserve">13. Supervisor review record and revision log</w:t>
      </w:r>
    </w:p>
    <w:p>
      <w:pPr>
        <w:pStyle w:val="FirstParagraph"/>
      </w:pPr>
      <w:r>
        <w:t xml:space="preserve">The supervisor review has not happened yet; the table below is the agenda and the record to fill in during it, and nothing in it is presented as feedback received.</w:t>
      </w:r>
    </w:p>
    <w:bookmarkStart w:id="79" w:name="Xd391e3b260cc672ca7ba7588f07eb43615a8936"/>
    <w:p>
      <w:pPr>
        <w:pStyle w:val="Heading2"/>
      </w:pPr>
      <w:r>
        <w:t xml:space="preserve">13.1 Review meeting record (fill in during the meeting)</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2026"/>
        <w:gridCol w:w="4850"/>
        <w:gridCol w:w="1287"/>
        <w:gridCol w:w="1627"/>
      </w:tblGrid>
      <w:tr>
        <w:trPr>
          <w:tblHeader w:val="true"/>
          <w:tblHeader w:val="true"/>
        </w:trPr>
        <w:tc>
          <w:tcPr>
            <w:tcW w:w="2026" w:type="dxa"/>
            <w:shd w:val="clear" w:color="auto" w:fill="DCE6F2"/>
          </w:tcPr>
          <w:p>
            <w:pPr>
              <w:pStyle w:val="Compact"/>
              <w:spacing w:after="20" w:before="20"/>
              <w:jc w:val="left"/>
            </w:pPr>
            <w:r>
              <w:rPr>
                <w:b/>
                <w:sz w:val="18"/>
              </w:rPr>
              <w:t xml:space="preserve">Item</w:t>
            </w:r>
          </w:p>
        </w:tc>
        <w:tc>
          <w:tcPr>
            <w:tcW w:w="4850" w:type="dxa"/>
            <w:shd w:val="clear" w:color="auto" w:fill="DCE6F2"/>
          </w:tcPr>
          <w:p>
            <w:pPr>
              <w:pStyle w:val="Compact"/>
              <w:spacing w:after="20" w:before="20"/>
              <w:jc w:val="left"/>
            </w:pPr>
            <w:r>
              <w:rPr>
                <w:b/>
                <w:sz w:val="18"/>
              </w:rPr>
              <w:t xml:space="preserve">Question for the supervisor</w:t>
            </w:r>
          </w:p>
        </w:tc>
        <w:tc>
          <w:tcPr>
            <w:tcW w:w="1287" w:type="dxa"/>
            <w:shd w:val="clear" w:color="auto" w:fill="DCE6F2"/>
          </w:tcPr>
          <w:p>
            <w:pPr>
              <w:pStyle w:val="Compact"/>
              <w:spacing w:after="20" w:before="20"/>
              <w:jc w:val="left"/>
            </w:pPr>
            <w:r>
              <w:rPr>
                <w:b/>
                <w:sz w:val="18"/>
              </w:rPr>
              <w:t xml:space="preserve">Outcome</w:t>
            </w:r>
          </w:p>
        </w:tc>
        <w:tc>
          <w:tcPr>
            <w:tcW w:w="1627" w:type="dxa"/>
            <w:shd w:val="clear" w:color="auto" w:fill="DCE6F2"/>
          </w:tcPr>
          <w:p>
            <w:pPr>
              <w:pStyle w:val="Compact"/>
              <w:spacing w:after="20" w:before="20"/>
              <w:jc w:val="left"/>
            </w:pPr>
            <w:r>
              <w:rPr>
                <w:b/>
                <w:sz w:val="18"/>
              </w:rPr>
              <w:t xml:space="preserve">Revision required</w:t>
            </w:r>
          </w:p>
        </w:tc>
      </w:tr>
      <w:tr>
        <w:tc>
          <w:tcPr>
            <w:tcW w:w="2026" w:type="dxa"/>
          </w:tcPr>
          <w:p>
            <w:pPr>
              <w:pStyle w:val="Compact"/>
              <w:spacing w:after="20" w:before="20"/>
              <w:jc w:val="left"/>
            </w:pPr>
            <w:r>
              <w:rPr>
                <w:sz w:val="18"/>
              </w:rPr>
              <w:t xml:space="preserve">HS1 Decision 1</w:t>
            </w:r>
          </w:p>
        </w:tc>
        <w:tc>
          <w:tcPr>
            <w:tcW w:w="4850" w:type="dxa"/>
          </w:tcPr>
          <w:p>
            <w:pPr>
              <w:pStyle w:val="Compact"/>
              <w:spacing w:after="20" w:before="20"/>
              <w:jc w:val="left"/>
            </w:pPr>
            <w:r>
              <w:rPr>
                <w:sz w:val="18"/>
              </w:rPr>
              <w:t xml:space="preserve">Is a design claim plus a measurement an acceptable contribution?</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HS1 Decision 2</w:t>
            </w:r>
          </w:p>
        </w:tc>
        <w:tc>
          <w:tcPr>
            <w:tcW w:w="4850" w:type="dxa"/>
          </w:tcPr>
          <w:p>
            <w:pPr>
              <w:pStyle w:val="Compact"/>
              <w:spacing w:after="20" w:before="20"/>
              <w:jc w:val="left"/>
            </w:pPr>
            <w:r>
              <w:rPr>
                <w:sz w:val="18"/>
              </w:rPr>
              <w:t xml:space="preserve">Is a rigorously measured negative result success? (written)</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HS1 Decision 3</w:t>
            </w:r>
          </w:p>
        </w:tc>
        <w:tc>
          <w:tcPr>
            <w:tcW w:w="4850" w:type="dxa"/>
          </w:tcPr>
          <w:p>
            <w:pPr>
              <w:pStyle w:val="Compact"/>
              <w:spacing w:after="20" w:before="20"/>
              <w:jc w:val="left"/>
            </w:pPr>
            <w:r>
              <w:rPr>
                <w:sz w:val="18"/>
              </w:rPr>
              <w:t xml:space="preserve">Is a local containerized demonstration sufficient?</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HS1 Decisions 4–7</w:t>
            </w:r>
          </w:p>
        </w:tc>
        <w:tc>
          <w:tcPr>
            <w:tcW w:w="4850" w:type="dxa"/>
          </w:tcPr>
          <w:p>
            <w:pPr>
              <w:pStyle w:val="Compact"/>
              <w:spacing w:after="20" w:before="20"/>
              <w:jc w:val="left"/>
            </w:pPr>
            <w:r>
              <w:rPr>
                <w:sz w:val="18"/>
              </w:rPr>
              <w:t xml:space="preserve">Thresholds, backends, IRB, workload source</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H2-A1</w:t>
            </w:r>
          </w:p>
        </w:tc>
        <w:tc>
          <w:tcPr>
            <w:tcW w:w="4850" w:type="dxa"/>
          </w:tcPr>
          <w:p>
            <w:pPr>
              <w:pStyle w:val="Compact"/>
              <w:spacing w:after="20" w:before="20"/>
              <w:jc w:val="left"/>
            </w:pPr>
            <w:r>
              <w:rPr>
                <w:sz w:val="18"/>
              </w:rPr>
              <w:t xml:space="preserve">Accept</w:t>
            </w:r>
            <w:r>
              <w:rPr>
                <w:sz w:val="18"/>
              </w:rPr>
              <w:t xml:space="preserve"> </w:t>
            </w:r>
            <w:r>
              <w:rPr>
                <w:rStyle w:val="VerbatimChar"/>
                <w:sz w:val="18"/>
              </w:rPr>
              <w:t xml:space="preserve">@ref</w:t>
            </w:r>
            <w:r>
              <w:rPr>
                <w:sz w:val="18"/>
              </w:rPr>
              <w:t xml:space="preserve"> </w:t>
            </w:r>
            <w:r>
              <w:rPr>
                <w:sz w:val="18"/>
              </w:rPr>
              <w:t xml:space="preserve">as a second schema directive (amends HS1 §5.3 #6)?</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H2-A2</w:t>
            </w:r>
          </w:p>
        </w:tc>
        <w:tc>
          <w:tcPr>
            <w:tcW w:w="4850" w:type="dxa"/>
          </w:tcPr>
          <w:p>
            <w:pPr>
              <w:pStyle w:val="Compact"/>
              <w:spacing w:after="20" w:before="20"/>
              <w:jc w:val="left"/>
            </w:pPr>
            <w:r>
              <w:rPr>
                <w:sz w:val="18"/>
              </w:rPr>
              <w:t xml:space="preserve">Accept generated data on the UniBench schema in place of UniBench data?</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H2-A3</w:t>
            </w:r>
          </w:p>
        </w:tc>
        <w:tc>
          <w:tcPr>
            <w:tcW w:w="4850" w:type="dxa"/>
          </w:tcPr>
          <w:p>
            <w:pPr>
              <w:pStyle w:val="Compact"/>
              <w:spacing w:after="20" w:before="20"/>
              <w:jc w:val="left"/>
            </w:pPr>
            <w:r>
              <w:rPr>
                <w:sz w:val="18"/>
              </w:rPr>
              <w:t xml:space="preserve">Accept the slip of M3–M5?</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Risk</w:t>
            </w:r>
          </w:p>
        </w:tc>
        <w:tc>
          <w:tcPr>
            <w:tcW w:w="4850" w:type="dxa"/>
          </w:tcPr>
          <w:p>
            <w:pPr>
              <w:pStyle w:val="Compact"/>
              <w:spacing w:after="20" w:before="20"/>
              <w:jc w:val="left"/>
            </w:pPr>
            <w:r>
              <w:rPr>
                <w:sz w:val="18"/>
              </w:rPr>
              <w:t xml:space="preserve">Agree that Hasura DDN is the highest-risk dependency and S-1 is the right de-risking step?</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Gaps</w:t>
            </w:r>
          </w:p>
        </w:tc>
        <w:tc>
          <w:tcPr>
            <w:tcW w:w="4850" w:type="dxa"/>
          </w:tcPr>
          <w:p>
            <w:pPr>
              <w:pStyle w:val="Compact"/>
              <w:spacing w:after="20" w:before="20"/>
              <w:jc w:val="left"/>
            </w:pPr>
            <w:r>
              <w:rPr>
                <w:sz w:val="18"/>
              </w:rPr>
              <w:t xml:space="preserve">Are the gaps in §12.4 acceptable as stated limits?</w:t>
            </w:r>
          </w:p>
        </w:tc>
        <w:tc>
          <w:tcPr>
            <w:tcW w:w="1287" w:type="dxa"/>
          </w:tcPr>
          <w:p>
            <w:pPr>
              <w:pStyle w:val="Compact"/>
              <w:spacing w:after="20" w:before="20"/>
            </w:pPr>
          </w:p>
        </w:tc>
        <w:tc>
          <w:tcPr>
            <w:tcW w:w="1627" w:type="dxa"/>
          </w:tcPr>
          <w:p>
            <w:pPr>
              <w:pStyle w:val="Compact"/>
              <w:spacing w:after="20" w:before="20"/>
            </w:pPr>
          </w:p>
        </w:tc>
      </w:tr>
      <w:tr>
        <w:tc>
          <w:tcPr>
            <w:tcW w:w="2026" w:type="dxa"/>
          </w:tcPr>
          <w:p>
            <w:pPr>
              <w:pStyle w:val="Compact"/>
              <w:spacing w:after="20" w:before="20"/>
              <w:jc w:val="left"/>
            </w:pPr>
            <w:r>
              <w:rPr>
                <w:sz w:val="18"/>
              </w:rPr>
              <w:t xml:space="preserve">Resources</w:t>
            </w:r>
          </w:p>
        </w:tc>
        <w:tc>
          <w:tcPr>
            <w:tcW w:w="4850" w:type="dxa"/>
          </w:tcPr>
          <w:p>
            <w:pPr>
              <w:pStyle w:val="Compact"/>
              <w:spacing w:after="20" w:before="20"/>
              <w:jc w:val="left"/>
            </w:pPr>
            <w:r>
              <w:rPr>
                <w:sz w:val="18"/>
              </w:rPr>
              <w:t xml:space="preserve">Can a second machine be provided for the Week 13 rehearsal?</w:t>
            </w:r>
          </w:p>
        </w:tc>
        <w:tc>
          <w:tcPr>
            <w:tcW w:w="1287" w:type="dxa"/>
          </w:tcPr>
          <w:p>
            <w:pPr>
              <w:pStyle w:val="Compact"/>
              <w:spacing w:after="20" w:before="20"/>
            </w:pPr>
          </w:p>
        </w:tc>
        <w:tc>
          <w:tcPr>
            <w:tcW w:w="1627" w:type="dxa"/>
          </w:tcPr>
          <w:p>
            <w:pPr>
              <w:pStyle w:val="Compact"/>
              <w:spacing w:after="20" w:before="20"/>
            </w:pPr>
          </w:p>
        </w:tc>
      </w:tr>
    </w:tbl>
    <w:p>
      <w:pPr>
        <w:pStyle w:val="BodyText"/>
      </w:pPr>
      <w:r>
        <w:t xml:space="preserve">Meeting date: ____________ · Attendees: Jai Behl, Majid Shaalan · Notes filed at</w:t>
      </w:r>
      <w:r>
        <w:t xml:space="preserve"> </w:t>
      </w:r>
      <w:r>
        <w:rPr>
          <w:rStyle w:val="VerbatimChar"/>
        </w:rPr>
        <w:t xml:space="preserve">docs/reviews/hs2.md</w:t>
      </w:r>
      <w:r>
        <w:t xml:space="preserve">.</w:t>
      </w:r>
    </w:p>
    <w:bookmarkEnd w:id="79"/>
    <w:bookmarkStart w:id="80" w:name="amendments-to-the-hs1-package"/>
    <w:p>
      <w:pPr>
        <w:pStyle w:val="Heading2"/>
      </w:pPr>
      <w:r>
        <w:t xml:space="preserve">13.2 Amendments to the HS1 package</w:t>
      </w:r>
    </w:p>
    <w:tbl>
      <w:tblPr>
        <w:tblStyle w:val="Table"/>
        <w:tblLook w:firstRow="1" w:lastRow="0" w:firstColumn="0" w:lastColumn="0" w:noHBand="0" w:noVBand="0" w:val="0020"/>
        <w:jc w:val="start"/>
        <w:tblW w:w="9790"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023"/>
        <w:gridCol w:w="1596"/>
        <w:gridCol w:w="3527"/>
        <w:gridCol w:w="3644"/>
      </w:tblGrid>
      <w:tr>
        <w:trPr>
          <w:tblHeader w:val="true"/>
          <w:tblHeader w:val="true"/>
        </w:trPr>
        <w:tc>
          <w:tcPr>
            <w:tcW w:w="1023" w:type="dxa"/>
            <w:shd w:val="clear" w:color="auto" w:fill="DCE6F2"/>
          </w:tcPr>
          <w:p>
            <w:pPr>
              <w:pStyle w:val="Compact"/>
              <w:spacing w:after="20" w:before="20"/>
              <w:jc w:val="left"/>
            </w:pPr>
            <w:r>
              <w:rPr>
                <w:b/>
                <w:sz w:val="18"/>
              </w:rPr>
              <w:t xml:space="preserve">ID</w:t>
            </w:r>
          </w:p>
        </w:tc>
        <w:tc>
          <w:tcPr>
            <w:tcW w:w="1596" w:type="dxa"/>
            <w:shd w:val="clear" w:color="auto" w:fill="DCE6F2"/>
          </w:tcPr>
          <w:p>
            <w:pPr>
              <w:pStyle w:val="Compact"/>
              <w:spacing w:after="20" w:before="20"/>
              <w:jc w:val="left"/>
            </w:pPr>
            <w:r>
              <w:rPr>
                <w:b/>
                <w:sz w:val="18"/>
              </w:rPr>
              <w:t xml:space="preserve">HS1 section</w:t>
            </w:r>
          </w:p>
        </w:tc>
        <w:tc>
          <w:tcPr>
            <w:tcW w:w="3527" w:type="dxa"/>
            <w:shd w:val="clear" w:color="auto" w:fill="DCE6F2"/>
          </w:tcPr>
          <w:p>
            <w:pPr>
              <w:pStyle w:val="Compact"/>
              <w:spacing w:after="20" w:before="20"/>
              <w:jc w:val="left"/>
            </w:pPr>
            <w:r>
              <w:rPr>
                <w:b/>
                <w:sz w:val="18"/>
              </w:rPr>
              <w:t xml:space="preserve">Change</w:t>
            </w:r>
          </w:p>
        </w:tc>
        <w:tc>
          <w:tcPr>
            <w:tcW w:w="3644" w:type="dxa"/>
            <w:shd w:val="clear" w:color="auto" w:fill="DCE6F2"/>
          </w:tcPr>
          <w:p>
            <w:pPr>
              <w:pStyle w:val="Compact"/>
              <w:spacing w:after="20" w:before="20"/>
              <w:jc w:val="left"/>
            </w:pPr>
            <w:r>
              <w:rPr>
                <w:b/>
                <w:sz w:val="18"/>
              </w:rPr>
              <w:t xml:space="preserve">Reason</w:t>
            </w:r>
          </w:p>
        </w:tc>
      </w:tr>
      <w:tr>
        <w:tc>
          <w:tcPr>
            <w:tcW w:w="1023" w:type="dxa"/>
          </w:tcPr>
          <w:p>
            <w:pPr>
              <w:pStyle w:val="Compact"/>
              <w:spacing w:after="20" w:before="20"/>
              <w:jc w:val="left"/>
            </w:pPr>
            <w:r>
              <w:rPr>
                <w:sz w:val="18"/>
              </w:rPr>
              <w:t xml:space="preserve">H2-A1</w:t>
            </w:r>
          </w:p>
        </w:tc>
        <w:tc>
          <w:tcPr>
            <w:tcW w:w="1596" w:type="dxa"/>
          </w:tcPr>
          <w:p>
            <w:pPr>
              <w:pStyle w:val="Compact"/>
              <w:spacing w:after="20" w:before="20"/>
              <w:jc w:val="left"/>
            </w:pPr>
            <w:r>
              <w:rPr>
                <w:sz w:val="18"/>
              </w:rPr>
              <w:t xml:space="preserve">§5.3 #6, §6.3</w:t>
            </w:r>
          </w:p>
        </w:tc>
        <w:tc>
          <w:tcPr>
            <w:tcW w:w="3527" w:type="dxa"/>
          </w:tcPr>
          <w:p>
            <w:pPr>
              <w:pStyle w:val="Compact"/>
              <w:spacing w:after="20" w:before="20"/>
              <w:jc w:val="left"/>
            </w:pPr>
            <w:r>
              <w:rPr>
                <w:sz w:val="18"/>
              </w:rPr>
              <w:t xml:space="preserve">Add</w:t>
            </w:r>
            <w:r>
              <w:rPr>
                <w:sz w:val="18"/>
              </w:rPr>
              <w:t xml:space="preserve"> </w:t>
            </w:r>
            <w:r>
              <w:rPr>
                <w:rStyle w:val="VerbatimChar"/>
                <w:sz w:val="18"/>
              </w:rPr>
              <w:t xml:space="preserve">@ref(localKey, remoteKey)</w:t>
            </w:r>
            <w:r>
              <w:rPr>
                <w:sz w:val="18"/>
              </w:rPr>
              <w:t xml:space="preserve">;</w:t>
            </w:r>
            <w:r>
              <w:rPr>
                <w:sz w:val="18"/>
              </w:rPr>
              <w:t xml:space="preserve"> </w:t>
            </w:r>
            <w:r>
              <w:rPr>
                <w:rStyle w:val="VerbatimChar"/>
                <w:sz w:val="18"/>
              </w:rPr>
              <w:t xml:space="preserve">@store</w:t>
            </w:r>
            <w:r>
              <w:rPr>
                <w:sz w:val="18"/>
              </w:rPr>
              <w:t xml:space="preserve"> </w:t>
            </w:r>
            <w:r>
              <w:rPr>
                <w:sz w:val="18"/>
              </w:rPr>
              <w:t xml:space="preserve">moves to types only</w:t>
            </w:r>
          </w:p>
        </w:tc>
        <w:tc>
          <w:tcPr>
            <w:tcW w:w="3644" w:type="dxa"/>
          </w:tcPr>
          <w:p>
            <w:pPr>
              <w:pStyle w:val="Compact"/>
              <w:spacing w:after="20" w:before="20"/>
              <w:jc w:val="left"/>
            </w:pPr>
            <w:r>
              <w:rPr>
                <w:sz w:val="18"/>
              </w:rPr>
              <w:t xml:space="preserve">The engine needs join keys; field-level</w:t>
            </w:r>
            <w:r>
              <w:rPr>
                <w:sz w:val="18"/>
              </w:rPr>
              <w:t xml:space="preserve"> </w:t>
            </w:r>
            <w:r>
              <w:rPr>
                <w:rStyle w:val="VerbatimChar"/>
                <w:sz w:val="18"/>
              </w:rPr>
              <w:t xml:space="preserve">@store</w:t>
            </w:r>
            <w:r>
              <w:rPr>
                <w:sz w:val="18"/>
              </w:rPr>
              <w:t xml:space="preserve"> </w:t>
            </w:r>
            <w:r>
              <w:rPr>
                <w:sz w:val="18"/>
              </w:rPr>
              <w:t xml:space="preserve">duplicated placement</w:t>
            </w:r>
          </w:p>
        </w:tc>
      </w:tr>
      <w:tr>
        <w:tc>
          <w:tcPr>
            <w:tcW w:w="1023" w:type="dxa"/>
          </w:tcPr>
          <w:p>
            <w:pPr>
              <w:pStyle w:val="Compact"/>
              <w:spacing w:after="20" w:before="20"/>
              <w:jc w:val="left"/>
            </w:pPr>
            <w:r>
              <w:rPr>
                <w:sz w:val="18"/>
              </w:rPr>
              <w:t xml:space="preserve">H2-A2</w:t>
            </w:r>
          </w:p>
        </w:tc>
        <w:tc>
          <w:tcPr>
            <w:tcW w:w="1596" w:type="dxa"/>
          </w:tcPr>
          <w:p>
            <w:pPr>
              <w:pStyle w:val="Compact"/>
              <w:spacing w:after="20" w:before="20"/>
              <w:jc w:val="left"/>
            </w:pPr>
            <w:r>
              <w:rPr>
                <w:sz w:val="18"/>
              </w:rPr>
              <w:t xml:space="preserve">§6.4, §6.6, A1, R6</w:t>
            </w:r>
          </w:p>
        </w:tc>
        <w:tc>
          <w:tcPr>
            <w:tcW w:w="3527" w:type="dxa"/>
          </w:tcPr>
          <w:p>
            <w:pPr>
              <w:pStyle w:val="Compact"/>
              <w:spacing w:after="20" w:before="20"/>
              <w:jc w:val="left"/>
            </w:pPr>
            <w:r>
              <w:rPr>
                <w:sz w:val="18"/>
              </w:rPr>
              <w:t xml:space="preserve">UniBench schema and query shapes kept; data generated</w:t>
            </w:r>
          </w:p>
        </w:tc>
        <w:tc>
          <w:tcPr>
            <w:tcW w:w="3644" w:type="dxa"/>
          </w:tcPr>
          <w:p>
            <w:pPr>
              <w:pStyle w:val="Compact"/>
              <w:spacing w:after="20" w:before="20"/>
              <w:jc w:val="left"/>
            </w:pPr>
            <w:r>
              <w:rPr>
                <w:sz w:val="18"/>
              </w:rPr>
              <w:t xml:space="preserve">No licence file; Amazon-derived real review text conflicts with A5</w:t>
            </w:r>
          </w:p>
        </w:tc>
      </w:tr>
      <w:tr>
        <w:tc>
          <w:tcPr>
            <w:tcW w:w="1023" w:type="dxa"/>
          </w:tcPr>
          <w:p>
            <w:pPr>
              <w:pStyle w:val="Compact"/>
              <w:spacing w:after="20" w:before="20"/>
              <w:jc w:val="left"/>
            </w:pPr>
            <w:r>
              <w:rPr>
                <w:sz w:val="18"/>
              </w:rPr>
              <w:t xml:space="preserve">H2-A3</w:t>
            </w:r>
          </w:p>
        </w:tc>
        <w:tc>
          <w:tcPr>
            <w:tcW w:w="1596" w:type="dxa"/>
          </w:tcPr>
          <w:p>
            <w:pPr>
              <w:pStyle w:val="Compact"/>
              <w:spacing w:after="20" w:before="20"/>
              <w:jc w:val="left"/>
            </w:pPr>
            <w:r>
              <w:rPr>
                <w:sz w:val="18"/>
              </w:rPr>
              <w:t xml:space="preserve">§7.2</w:t>
            </w:r>
          </w:p>
        </w:tc>
        <w:tc>
          <w:tcPr>
            <w:tcW w:w="3527" w:type="dxa"/>
          </w:tcPr>
          <w:p>
            <w:pPr>
              <w:pStyle w:val="Compact"/>
              <w:spacing w:after="20" w:before="20"/>
              <w:jc w:val="left"/>
            </w:pPr>
            <w:r>
              <w:rPr>
                <w:sz w:val="18"/>
              </w:rPr>
              <w:t xml:space="preserve">M3 Week 4 → 6; M4 Week 6 → 7; M5 Week 7 → 8</w:t>
            </w:r>
          </w:p>
        </w:tc>
        <w:tc>
          <w:tcPr>
            <w:tcW w:w="3644" w:type="dxa"/>
          </w:tcPr>
          <w:p>
            <w:pPr>
              <w:pStyle w:val="Compact"/>
              <w:spacing w:after="20" w:before="20"/>
              <w:jc w:val="left"/>
            </w:pPr>
            <w:r>
              <w:rPr>
                <w:sz w:val="18"/>
              </w:rPr>
              <w:t xml:space="preserve">Generator is new work; HS3 midpoint follows M5</w:t>
            </w:r>
          </w:p>
        </w:tc>
      </w:tr>
      <w:tr>
        <w:tc>
          <w:tcPr>
            <w:tcW w:w="1023" w:type="dxa"/>
          </w:tcPr>
          <w:p>
            <w:pPr>
              <w:pStyle w:val="Compact"/>
              <w:spacing w:after="20" w:before="20"/>
              <w:jc w:val="left"/>
            </w:pPr>
            <w:r>
              <w:rPr>
                <w:sz w:val="18"/>
              </w:rPr>
              <w:t xml:space="preserve">H2-A4</w:t>
            </w:r>
          </w:p>
        </w:tc>
        <w:tc>
          <w:tcPr>
            <w:tcW w:w="1596" w:type="dxa"/>
          </w:tcPr>
          <w:p>
            <w:pPr>
              <w:pStyle w:val="Compact"/>
              <w:spacing w:after="20" w:before="20"/>
              <w:jc w:val="left"/>
            </w:pPr>
            <w:r>
              <w:rPr>
                <w:sz w:val="18"/>
              </w:rPr>
              <w:t xml:space="preserve">§6.4</w:t>
            </w:r>
          </w:p>
        </w:tc>
        <w:tc>
          <w:tcPr>
            <w:tcW w:w="3527" w:type="dxa"/>
          </w:tcPr>
          <w:p>
            <w:pPr>
              <w:pStyle w:val="Compact"/>
              <w:spacing w:after="20" w:before="20"/>
              <w:jc w:val="left"/>
            </w:pPr>
            <w:r>
              <w:rPr>
                <w:sz w:val="18"/>
              </w:rPr>
              <w:t xml:space="preserve">Bind join (R2) made an explicit floor rule</w:t>
            </w:r>
          </w:p>
        </w:tc>
        <w:tc>
          <w:tcPr>
            <w:tcW w:w="3644" w:type="dxa"/>
          </w:tcPr>
          <w:p>
            <w:pPr>
              <w:pStyle w:val="Compact"/>
              <w:spacing w:after="20" w:before="20"/>
              <w:jc w:val="left"/>
            </w:pPr>
            <w:r>
              <w:rPr>
                <w:sz w:val="18"/>
              </w:rPr>
              <w:t xml:space="preserve">Without it A1 would scale with table size, making the crossover a strawman</w:t>
            </w:r>
          </w:p>
        </w:tc>
      </w:tr>
      <w:tr>
        <w:tc>
          <w:tcPr>
            <w:tcW w:w="1023" w:type="dxa"/>
          </w:tcPr>
          <w:p>
            <w:pPr>
              <w:pStyle w:val="Compact"/>
              <w:spacing w:after="20" w:before="20"/>
              <w:jc w:val="left"/>
            </w:pPr>
            <w:r>
              <w:rPr>
                <w:sz w:val="18"/>
              </w:rPr>
              <w:t xml:space="preserve">H2-A5</w:t>
            </w:r>
          </w:p>
        </w:tc>
        <w:tc>
          <w:tcPr>
            <w:tcW w:w="1596" w:type="dxa"/>
          </w:tcPr>
          <w:p>
            <w:pPr>
              <w:pStyle w:val="Compact"/>
              <w:spacing w:after="20" w:before="20"/>
              <w:jc w:val="left"/>
            </w:pPr>
            <w:r>
              <w:rPr>
                <w:sz w:val="18"/>
              </w:rPr>
              <w:t xml:space="preserve">§6.5</w:t>
            </w:r>
          </w:p>
        </w:tc>
        <w:tc>
          <w:tcPr>
            <w:tcW w:w="3527" w:type="dxa"/>
          </w:tcPr>
          <w:p>
            <w:pPr>
              <w:pStyle w:val="Compact"/>
              <w:spacing w:after="20" w:before="20"/>
              <w:jc w:val="left"/>
            </w:pPr>
            <w:r>
              <w:rPr>
                <w:sz w:val="18"/>
              </w:rPr>
              <w:t xml:space="preserve">A2 defined as hand-written reference SQL, timed including result shaping</w:t>
            </w:r>
          </w:p>
        </w:tc>
        <w:tc>
          <w:tcPr>
            <w:tcW w:w="3644" w:type="dxa"/>
          </w:tcPr>
          <w:p>
            <w:pPr>
              <w:pStyle w:val="Compact"/>
              <w:spacing w:after="20" w:before="20"/>
              <w:jc w:val="left"/>
            </w:pPr>
            <w:r>
              <w:rPr>
                <w:sz w:val="18"/>
              </w:rPr>
              <w:t xml:space="preserve">Same queries serve the oracle; shaping cost kept equal across arms</w:t>
            </w:r>
          </w:p>
        </w:tc>
      </w:tr>
      <w:tr>
        <w:tc>
          <w:tcPr>
            <w:tcW w:w="1023" w:type="dxa"/>
          </w:tcPr>
          <w:p>
            <w:pPr>
              <w:pStyle w:val="Compact"/>
              <w:spacing w:after="20" w:before="20"/>
              <w:jc w:val="left"/>
            </w:pPr>
            <w:r>
              <w:rPr>
                <w:sz w:val="18"/>
              </w:rPr>
              <w:t xml:space="preserve">H2-A6</w:t>
            </w:r>
          </w:p>
        </w:tc>
        <w:tc>
          <w:tcPr>
            <w:tcW w:w="1596" w:type="dxa"/>
          </w:tcPr>
          <w:p>
            <w:pPr>
              <w:pStyle w:val="Compact"/>
              <w:spacing w:after="20" w:before="20"/>
              <w:jc w:val="left"/>
            </w:pPr>
            <w:r>
              <w:rPr>
                <w:sz w:val="18"/>
              </w:rPr>
              <w:t xml:space="preserve">§6.1</w:t>
            </w:r>
          </w:p>
        </w:tc>
        <w:tc>
          <w:tcPr>
            <w:tcW w:w="3527" w:type="dxa"/>
          </w:tcPr>
          <w:p>
            <w:pPr>
              <w:pStyle w:val="Compact"/>
              <w:spacing w:after="20" w:before="20"/>
              <w:jc w:val="left"/>
            </w:pPr>
            <w:r>
              <w:rPr>
                <w:sz w:val="18"/>
              </w:rPr>
              <w:t xml:space="preserve">Resource parity rule added (shared cpuset, identical limits)</w:t>
            </w:r>
          </w:p>
        </w:tc>
        <w:tc>
          <w:tcPr>
            <w:tcW w:w="3644" w:type="dxa"/>
          </w:tcPr>
          <w:p>
            <w:pPr>
              <w:pStyle w:val="Compact"/>
              <w:spacing w:after="20" w:before="20"/>
              <w:jc w:val="left"/>
            </w:pPr>
            <w:r>
              <w:rPr>
                <w:sz w:val="18"/>
              </w:rPr>
              <w:t xml:space="preserve">Federation would otherwise get twice the hardware</w:t>
            </w:r>
          </w:p>
        </w:tc>
      </w:tr>
      <w:tr>
        <w:tc>
          <w:tcPr>
            <w:tcW w:w="1023" w:type="dxa"/>
          </w:tcPr>
          <w:p>
            <w:pPr>
              <w:pStyle w:val="Compact"/>
              <w:spacing w:after="20" w:before="20"/>
              <w:jc w:val="left"/>
            </w:pPr>
            <w:r>
              <w:rPr>
                <w:sz w:val="18"/>
              </w:rPr>
              <w:t xml:space="preserve">H2-A7</w:t>
            </w:r>
          </w:p>
        </w:tc>
        <w:tc>
          <w:tcPr>
            <w:tcW w:w="1596" w:type="dxa"/>
          </w:tcPr>
          <w:p>
            <w:pPr>
              <w:pStyle w:val="Compact"/>
              <w:spacing w:after="20" w:before="20"/>
              <w:jc w:val="left"/>
            </w:pPr>
            <w:r>
              <w:rPr>
                <w:sz w:val="18"/>
              </w:rPr>
              <w:t xml:space="preserve">§12</w:t>
            </w:r>
          </w:p>
        </w:tc>
        <w:tc>
          <w:tcPr>
            <w:tcW w:w="3527" w:type="dxa"/>
          </w:tcPr>
          <w:p>
            <w:pPr>
              <w:pStyle w:val="Compact"/>
              <w:spacing w:after="20" w:before="20"/>
              <w:jc w:val="left"/>
            </w:pPr>
            <w:r>
              <w:rPr>
                <w:sz w:val="18"/>
              </w:rPr>
              <w:t xml:space="preserve">Brief still showed</w:t>
            </w:r>
            <w:r>
              <w:rPr>
                <w:sz w:val="18"/>
              </w:rPr>
              <w:t xml:space="preserve"> </w:t>
            </w:r>
            <w:r>
              <w:rPr>
                <w:rStyle w:val="VerbatimChar"/>
                <w:sz w:val="18"/>
              </w:rPr>
              <w:t xml:space="preserve">[name]</w:t>
            </w:r>
            <w:r>
              <w:rPr>
                <w:sz w:val="18"/>
              </w:rPr>
              <w:t xml:space="preserve"> </w:t>
            </w:r>
            <w:r>
              <w:rPr>
                <w:sz w:val="18"/>
              </w:rPr>
              <w:t xml:space="preserve">and</w:t>
            </w:r>
            <w:r>
              <w:rPr>
                <w:sz w:val="18"/>
              </w:rPr>
              <w:t xml:space="preserve"> </w:t>
            </w:r>
            <w:r>
              <w:rPr>
                <w:rStyle w:val="VerbatimChar"/>
                <w:sz w:val="18"/>
              </w:rPr>
              <w:t xml:space="preserve">[date]</w:t>
            </w:r>
            <w:r>
              <w:rPr>
                <w:sz w:val="18"/>
              </w:rPr>
              <w:t xml:space="preserve"> </w:t>
            </w:r>
            <w:r>
              <w:rPr>
                <w:sz w:val="18"/>
              </w:rPr>
              <w:t xml:space="preserve">placeholders</w:t>
            </w:r>
          </w:p>
        </w:tc>
        <w:tc>
          <w:tcPr>
            <w:tcW w:w="3644" w:type="dxa"/>
          </w:tcPr>
          <w:p>
            <w:pPr>
              <w:pStyle w:val="Compact"/>
              <w:spacing w:after="20" w:before="20"/>
              <w:jc w:val="left"/>
            </w:pPr>
            <w:r>
              <w:rPr>
                <w:sz w:val="18"/>
              </w:rPr>
              <w:t xml:space="preserve">Housekeeping: fix in HS1 v0.1.1 in the repository</w:t>
            </w:r>
          </w:p>
        </w:tc>
      </w:tr>
    </w:tbl>
    <w:bookmarkEnd w:id="80"/>
    <w:bookmarkStart w:id="81" w:name="revision-log-of-this-package"/>
    <w:p>
      <w:pPr>
        <w:pStyle w:val="Heading2"/>
      </w:pPr>
      <w:r>
        <w:t xml:space="preserve">13.3 Revision log of this package</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2066"/>
        <w:gridCol w:w="2597"/>
        <w:gridCol w:w="5128"/>
      </w:tblGrid>
      <w:tr>
        <w:trPr>
          <w:tblHeader w:val="true"/>
          <w:tblHeader w:val="true"/>
        </w:trPr>
        <w:tc>
          <w:tcPr>
            <w:tcW w:w="2066" w:type="dxa"/>
            <w:shd w:val="clear" w:color="auto" w:fill="DCE6F2"/>
          </w:tcPr>
          <w:p>
            <w:pPr>
              <w:pStyle w:val="Compact"/>
              <w:spacing w:after="20" w:before="20"/>
              <w:jc w:val="left"/>
            </w:pPr>
            <w:r>
              <w:rPr>
                <w:b/>
                <w:sz w:val="18"/>
              </w:rPr>
              <w:t xml:space="preserve">Version</w:t>
            </w:r>
          </w:p>
        </w:tc>
        <w:tc>
          <w:tcPr>
            <w:tcW w:w="2597" w:type="dxa"/>
            <w:shd w:val="clear" w:color="auto" w:fill="DCE6F2"/>
          </w:tcPr>
          <w:p>
            <w:pPr>
              <w:pStyle w:val="Compact"/>
              <w:spacing w:after="20" w:before="20"/>
              <w:jc w:val="left"/>
            </w:pPr>
            <w:r>
              <w:rPr>
                <w:b/>
                <w:sz w:val="18"/>
              </w:rPr>
              <w:t xml:space="preserve">Date</w:t>
            </w:r>
          </w:p>
        </w:tc>
        <w:tc>
          <w:tcPr>
            <w:tcW w:w="5128" w:type="dxa"/>
            <w:shd w:val="clear" w:color="auto" w:fill="DCE6F2"/>
          </w:tcPr>
          <w:p>
            <w:pPr>
              <w:pStyle w:val="Compact"/>
              <w:spacing w:after="20" w:before="20"/>
              <w:jc w:val="left"/>
            </w:pPr>
            <w:r>
              <w:rPr>
                <w:b/>
                <w:sz w:val="18"/>
              </w:rPr>
              <w:t xml:space="preserve">Change</w:t>
            </w:r>
          </w:p>
        </w:tc>
      </w:tr>
      <w:tr>
        <w:tc>
          <w:tcPr>
            <w:tcW w:w="2066" w:type="dxa"/>
          </w:tcPr>
          <w:p>
            <w:pPr>
              <w:pStyle w:val="Compact"/>
              <w:spacing w:after="20" w:before="20"/>
              <w:jc w:val="left"/>
            </w:pPr>
            <w:r>
              <w:rPr>
                <w:sz w:val="18"/>
              </w:rPr>
              <w:t xml:space="preserve">v0.2</w:t>
            </w:r>
          </w:p>
        </w:tc>
        <w:tc>
          <w:tcPr>
            <w:tcW w:w="2597" w:type="dxa"/>
          </w:tcPr>
          <w:p>
            <w:pPr>
              <w:pStyle w:val="Compact"/>
              <w:spacing w:after="20" w:before="20"/>
              <w:jc w:val="left"/>
            </w:pPr>
            <w:r>
              <w:rPr>
                <w:sz w:val="18"/>
              </w:rPr>
              <w:t xml:space="preserve">9/27/2026</w:t>
            </w:r>
          </w:p>
        </w:tc>
        <w:tc>
          <w:tcPr>
            <w:tcW w:w="5128" w:type="dxa"/>
          </w:tcPr>
          <w:p>
            <w:pPr>
              <w:pStyle w:val="Compact"/>
              <w:spacing w:after="20" w:before="20"/>
              <w:jc w:val="left"/>
            </w:pPr>
            <w:r>
              <w:rPr>
                <w:sz w:val="18"/>
              </w:rPr>
              <w:t xml:space="preserve">First design review draft, before supervisor review</w:t>
            </w:r>
          </w:p>
        </w:tc>
      </w:tr>
      <w:tr>
        <w:tc>
          <w:tcPr>
            <w:tcW w:w="2066" w:type="dxa"/>
          </w:tcPr>
          <w:p>
            <w:pPr>
              <w:pStyle w:val="Compact"/>
              <w:spacing w:after="20" w:before="20"/>
              <w:jc w:val="left"/>
            </w:pPr>
            <w:r>
              <w:rPr>
                <w:sz w:val="18"/>
              </w:rPr>
              <w:t xml:space="preserve">v0.2.1</w:t>
            </w:r>
          </w:p>
        </w:tc>
        <w:tc>
          <w:tcPr>
            <w:tcW w:w="2597" w:type="dxa"/>
          </w:tcPr>
          <w:p>
            <w:pPr>
              <w:pStyle w:val="Compact"/>
              <w:spacing w:after="20" w:before="20"/>
              <w:jc w:val="left"/>
            </w:pPr>
            <w:r>
              <w:rPr>
                <w:sz w:val="18"/>
              </w:rPr>
              <w:t xml:space="preserve">____________</w:t>
            </w:r>
          </w:p>
        </w:tc>
        <w:tc>
          <w:tcPr>
            <w:tcW w:w="5128" w:type="dxa"/>
          </w:tcPr>
          <w:p>
            <w:pPr>
              <w:pStyle w:val="Compact"/>
              <w:spacing w:after="20" w:before="20"/>
              <w:jc w:val="left"/>
            </w:pPr>
            <w:r>
              <w:rPr>
                <w:sz w:val="18"/>
              </w:rPr>
              <w:t xml:space="preserve">Revisions from the §13.1 meeting</w:t>
            </w:r>
          </w:p>
        </w:tc>
      </w:tr>
    </w:tbl>
    <w:bookmarkEnd w:id="81"/>
    <w:bookmarkEnd w:id="82"/>
    <w:bookmarkStart w:id="92" w:name="adr-index-and-references"/>
    <w:p>
      <w:pPr>
        <w:pStyle w:val="Heading1"/>
      </w:pPr>
      <w:r>
        <w:t xml:space="preserve">14. ADR index and references</w:t>
      </w:r>
    </w:p>
    <w:bookmarkStart w:id="83" w:name="architecture-decision-records"/>
    <w:p>
      <w:pPr>
        <w:pStyle w:val="Heading2"/>
      </w:pPr>
      <w:r>
        <w:t xml:space="preserve">14.1 Architecture decision records</w:t>
      </w:r>
    </w:p>
    <w:tbl>
      <w:tblPr>
        <w:tblStyle w:val="Table"/>
        <w:tblLook w:firstRow="1" w:lastRow="0" w:firstColumn="0" w:lastColumn="0" w:noHBand="0" w:noVBand="0" w:val="0020"/>
        <w:jc w:val="start"/>
        <w:tblW w:w="9791" w:type="dxa"/>
        <w:tblLayout w:type="fixed"/>
        <w:tblBorders>
          <w:top w:val="single" w:sz="4" w:color="A6B4C8"/>
          <w:left w:val="single" w:sz="4" w:color="A6B4C8"/>
          <w:bottom w:val="single" w:sz="4" w:color="A6B4C8"/>
          <w:right w:val="single" w:sz="4" w:color="A6B4C8"/>
          <w:insideH w:val="single" w:sz="4" w:color="A6B4C8"/>
          <w:insideV w:val="single" w:sz="4" w:color="A6B4C8"/>
        </w:tblBorders>
      </w:tblPr>
      <w:tblGrid>
        <w:gridCol w:w="1510"/>
        <w:gridCol w:w="4745"/>
        <w:gridCol w:w="3536"/>
      </w:tblGrid>
      <w:tr>
        <w:trPr>
          <w:tblHeader w:val="true"/>
          <w:tblHeader w:val="true"/>
        </w:trPr>
        <w:tc>
          <w:tcPr>
            <w:tcW w:w="1510" w:type="dxa"/>
            <w:shd w:val="clear" w:color="auto" w:fill="DCE6F2"/>
          </w:tcPr>
          <w:p>
            <w:pPr>
              <w:pStyle w:val="Compact"/>
              <w:spacing w:after="20" w:before="20"/>
              <w:jc w:val="left"/>
            </w:pPr>
            <w:r>
              <w:rPr>
                <w:b/>
                <w:sz w:val="18"/>
              </w:rPr>
              <w:t xml:space="preserve">ADR</w:t>
            </w:r>
          </w:p>
        </w:tc>
        <w:tc>
          <w:tcPr>
            <w:tcW w:w="4745" w:type="dxa"/>
            <w:shd w:val="clear" w:color="auto" w:fill="DCE6F2"/>
          </w:tcPr>
          <w:p>
            <w:pPr>
              <w:pStyle w:val="Compact"/>
              <w:spacing w:after="20" w:before="20"/>
              <w:jc w:val="left"/>
            </w:pPr>
            <w:r>
              <w:rPr>
                <w:b/>
                <w:sz w:val="18"/>
              </w:rPr>
              <w:t xml:space="preserve">Title</w:t>
            </w:r>
          </w:p>
        </w:tc>
        <w:tc>
          <w:tcPr>
            <w:tcW w:w="3536" w:type="dxa"/>
            <w:shd w:val="clear" w:color="auto" w:fill="DCE6F2"/>
          </w:tcPr>
          <w:p>
            <w:pPr>
              <w:pStyle w:val="Compact"/>
              <w:spacing w:after="20" w:before="20"/>
              <w:jc w:val="left"/>
            </w:pPr>
            <w:r>
              <w:rPr>
                <w:b/>
                <w:sz w:val="18"/>
              </w:rPr>
              <w:t xml:space="preserve">State at HS2</w:t>
            </w:r>
          </w:p>
        </w:tc>
      </w:tr>
      <w:tr>
        <w:tc>
          <w:tcPr>
            <w:tcW w:w="1510" w:type="dxa"/>
          </w:tcPr>
          <w:p>
            <w:pPr>
              <w:pStyle w:val="Compact"/>
              <w:spacing w:after="20" w:before="20"/>
              <w:jc w:val="left"/>
            </w:pPr>
            <w:r>
              <w:rPr>
                <w:sz w:val="18"/>
              </w:rPr>
              <w:t xml:space="preserve">0001</w:t>
            </w:r>
          </w:p>
        </w:tc>
        <w:tc>
          <w:tcPr>
            <w:tcW w:w="4745" w:type="dxa"/>
          </w:tcPr>
          <w:p>
            <w:pPr>
              <w:pStyle w:val="Compact"/>
              <w:spacing w:after="20" w:before="20"/>
              <w:jc w:val="left"/>
            </w:pPr>
            <w:r>
              <w:rPr>
                <w:sz w:val="18"/>
              </w:rPr>
              <w:t xml:space="preserve">Record architecture decisions (process)</w:t>
            </w:r>
          </w:p>
        </w:tc>
        <w:tc>
          <w:tcPr>
            <w:tcW w:w="3536" w:type="dxa"/>
          </w:tcPr>
          <w:p>
            <w:pPr>
              <w:pStyle w:val="Compact"/>
              <w:spacing w:after="20" w:before="20"/>
              <w:jc w:val="left"/>
            </w:pPr>
            <w:r>
              <w:rPr>
                <w:sz w:val="18"/>
              </w:rPr>
              <w:t xml:space="preserve">Accepted at HS1</w:t>
            </w:r>
          </w:p>
        </w:tc>
      </w:tr>
      <w:tr>
        <w:tc>
          <w:tcPr>
            <w:tcW w:w="1510" w:type="dxa"/>
          </w:tcPr>
          <w:p>
            <w:pPr>
              <w:pStyle w:val="Compact"/>
              <w:spacing w:after="20" w:before="20"/>
              <w:jc w:val="left"/>
            </w:pPr>
            <w:r>
              <w:rPr>
                <w:sz w:val="18"/>
              </w:rPr>
              <w:t xml:space="preserve">0002</w:t>
            </w:r>
          </w:p>
        </w:tc>
        <w:tc>
          <w:tcPr>
            <w:tcW w:w="4745" w:type="dxa"/>
          </w:tcPr>
          <w:p>
            <w:pPr>
              <w:pStyle w:val="Compact"/>
              <w:spacing w:after="20" w:before="20"/>
              <w:jc w:val="left"/>
            </w:pPr>
            <w:r>
              <w:rPr>
                <w:sz w:val="18"/>
              </w:rPr>
              <w:t xml:space="preserve">Parser: graphql-core 3.2</w:t>
            </w:r>
          </w:p>
        </w:tc>
        <w:tc>
          <w:tcPr>
            <w:tcW w:w="3536" w:type="dxa"/>
          </w:tcPr>
          <w:p>
            <w:pPr>
              <w:pStyle w:val="Compact"/>
              <w:spacing w:after="20" w:before="20"/>
              <w:jc w:val="left"/>
            </w:pPr>
            <w:r>
              <w:rPr>
                <w:sz w:val="18"/>
              </w:rPr>
              <w:t xml:space="preserve">Proposed here, accept Week 5 after T-U1</w:t>
            </w:r>
          </w:p>
        </w:tc>
      </w:tr>
      <w:tr>
        <w:tc>
          <w:tcPr>
            <w:tcW w:w="1510" w:type="dxa"/>
          </w:tcPr>
          <w:p>
            <w:pPr>
              <w:pStyle w:val="Compact"/>
              <w:spacing w:after="20" w:before="20"/>
              <w:jc w:val="left"/>
            </w:pPr>
            <w:r>
              <w:rPr>
                <w:sz w:val="18"/>
              </w:rPr>
              <w:t xml:space="preserve">0003</w:t>
            </w:r>
          </w:p>
        </w:tc>
        <w:tc>
          <w:tcPr>
            <w:tcW w:w="4745" w:type="dxa"/>
          </w:tcPr>
          <w:p>
            <w:pPr>
              <w:pStyle w:val="Compact"/>
              <w:spacing w:after="20" w:before="20"/>
              <w:jc w:val="left"/>
            </w:pPr>
            <w:r>
              <w:rPr>
                <w:rStyle w:val="VerbatimChar"/>
                <w:sz w:val="18"/>
              </w:rPr>
              <w:t xml:space="preserve">@store</w:t>
            </w:r>
            <w:r>
              <w:rPr>
                <w:sz w:val="18"/>
              </w:rPr>
              <w:t xml:space="preserve"> </w:t>
            </w:r>
            <w:r>
              <w:rPr>
                <w:sz w:val="18"/>
              </w:rPr>
              <w:t xml:space="preserve">on types,</w:t>
            </w:r>
            <w:r>
              <w:rPr>
                <w:sz w:val="18"/>
              </w:rPr>
              <w:t xml:space="preserve"> </w:t>
            </w:r>
            <w:r>
              <w:rPr>
                <w:rStyle w:val="VerbatimChar"/>
                <w:sz w:val="18"/>
              </w:rPr>
              <w:t xml:space="preserve">@ref</w:t>
            </w:r>
            <w:r>
              <w:rPr>
                <w:sz w:val="18"/>
              </w:rPr>
              <w:t xml:space="preserve"> </w:t>
            </w:r>
            <w:r>
              <w:rPr>
                <w:sz w:val="18"/>
              </w:rPr>
              <w:t xml:space="preserve">on fields; rejected alternatives</w:t>
            </w:r>
          </w:p>
        </w:tc>
        <w:tc>
          <w:tcPr>
            <w:tcW w:w="3536" w:type="dxa"/>
          </w:tcPr>
          <w:p>
            <w:pPr>
              <w:pStyle w:val="Compact"/>
              <w:spacing w:after="20" w:before="20"/>
              <w:jc w:val="left"/>
            </w:pPr>
            <w:r>
              <w:rPr>
                <w:sz w:val="18"/>
              </w:rPr>
              <w:t xml:space="preserve">Proposed here</w:t>
            </w:r>
          </w:p>
        </w:tc>
      </w:tr>
      <w:tr>
        <w:tc>
          <w:tcPr>
            <w:tcW w:w="1510" w:type="dxa"/>
          </w:tcPr>
          <w:p>
            <w:pPr>
              <w:pStyle w:val="Compact"/>
              <w:spacing w:after="20" w:before="20"/>
              <w:jc w:val="left"/>
            </w:pPr>
            <w:r>
              <w:rPr>
                <w:sz w:val="18"/>
              </w:rPr>
              <w:t xml:space="preserve">0004</w:t>
            </w:r>
          </w:p>
        </w:tc>
        <w:tc>
          <w:tcPr>
            <w:tcW w:w="4745" w:type="dxa"/>
          </w:tcPr>
          <w:p>
            <w:pPr>
              <w:pStyle w:val="Compact"/>
              <w:spacing w:after="20" w:before="20"/>
              <w:jc w:val="left"/>
            </w:pPr>
            <w:r>
              <w:rPr>
                <w:sz w:val="18"/>
              </w:rPr>
              <w:t xml:space="preserve">Derived root fields and</w:t>
            </w:r>
            <w:r>
              <w:rPr>
                <w:sz w:val="18"/>
              </w:rPr>
              <w:t xml:space="preserve"> </w:t>
            </w:r>
            <w:r>
              <w:rPr>
                <w:rStyle w:val="VerbatimChar"/>
                <w:sz w:val="18"/>
              </w:rPr>
              <w:t xml:space="preserve">where</w:t>
            </w:r>
            <w:r>
              <w:rPr>
                <w:sz w:val="18"/>
              </w:rPr>
              <w:t xml:space="preserve"> </w:t>
            </w:r>
            <w:r>
              <w:rPr>
                <w:sz w:val="18"/>
              </w:rPr>
              <w:t xml:space="preserve">inputs</w:t>
            </w:r>
          </w:p>
        </w:tc>
        <w:tc>
          <w:tcPr>
            <w:tcW w:w="3536" w:type="dxa"/>
          </w:tcPr>
          <w:p>
            <w:pPr>
              <w:pStyle w:val="Compact"/>
              <w:spacing w:after="20" w:before="20"/>
              <w:jc w:val="left"/>
            </w:pPr>
            <w:r>
              <w:rPr>
                <w:sz w:val="18"/>
              </w:rPr>
              <w:t xml:space="preserve">Proposed here</w:t>
            </w:r>
          </w:p>
        </w:tc>
      </w:tr>
      <w:tr>
        <w:tc>
          <w:tcPr>
            <w:tcW w:w="1510" w:type="dxa"/>
          </w:tcPr>
          <w:p>
            <w:pPr>
              <w:pStyle w:val="Compact"/>
              <w:spacing w:after="20" w:before="20"/>
              <w:jc w:val="left"/>
            </w:pPr>
            <w:r>
              <w:rPr>
                <w:sz w:val="18"/>
              </w:rPr>
              <w:t xml:space="preserve">0005</w:t>
            </w:r>
          </w:p>
        </w:tc>
        <w:tc>
          <w:tcPr>
            <w:tcW w:w="4745" w:type="dxa"/>
          </w:tcPr>
          <w:p>
            <w:pPr>
              <w:pStyle w:val="Compact"/>
              <w:spacing w:after="20" w:before="20"/>
              <w:jc w:val="left"/>
            </w:pPr>
            <w:r>
              <w:rPr>
                <w:sz w:val="18"/>
              </w:rPr>
              <w:t xml:space="preserve">Seeded generator on the UniBench schema instead of UniBench data</w:t>
            </w:r>
          </w:p>
        </w:tc>
        <w:tc>
          <w:tcPr>
            <w:tcW w:w="3536" w:type="dxa"/>
          </w:tcPr>
          <w:p>
            <w:pPr>
              <w:pStyle w:val="Compact"/>
              <w:spacing w:after="20" w:before="20"/>
              <w:jc w:val="left"/>
            </w:pPr>
            <w:r>
              <w:rPr>
                <w:sz w:val="18"/>
              </w:rPr>
              <w:t xml:space="preserve">Proposed here</w:t>
            </w:r>
          </w:p>
        </w:tc>
      </w:tr>
      <w:tr>
        <w:tc>
          <w:tcPr>
            <w:tcW w:w="1510" w:type="dxa"/>
          </w:tcPr>
          <w:p>
            <w:pPr>
              <w:pStyle w:val="Compact"/>
              <w:spacing w:after="20" w:before="20"/>
              <w:jc w:val="left"/>
            </w:pPr>
            <w:r>
              <w:rPr>
                <w:sz w:val="18"/>
              </w:rPr>
              <w:t xml:space="preserve">0006</w:t>
            </w:r>
          </w:p>
        </w:tc>
        <w:tc>
          <w:tcPr>
            <w:tcW w:w="4745" w:type="dxa"/>
          </w:tcPr>
          <w:p>
            <w:pPr>
              <w:pStyle w:val="Compact"/>
              <w:spacing w:after="20" w:before="20"/>
              <w:jc w:val="left"/>
            </w:pPr>
            <w:r>
              <w:rPr>
                <w:sz w:val="18"/>
              </w:rPr>
              <w:t xml:space="preserve">Bind hash join, batch size B = 1,000</w:t>
            </w:r>
          </w:p>
        </w:tc>
        <w:tc>
          <w:tcPr>
            <w:tcW w:w="3536" w:type="dxa"/>
          </w:tcPr>
          <w:p>
            <w:pPr>
              <w:pStyle w:val="Compact"/>
              <w:spacing w:after="20" w:before="20"/>
              <w:jc w:val="left"/>
            </w:pPr>
            <w:r>
              <w:rPr>
                <w:sz w:val="18"/>
              </w:rPr>
              <w:t xml:space="preserve">Proposed here</w:t>
            </w:r>
          </w:p>
        </w:tc>
      </w:tr>
      <w:tr>
        <w:tc>
          <w:tcPr>
            <w:tcW w:w="1510" w:type="dxa"/>
          </w:tcPr>
          <w:p>
            <w:pPr>
              <w:pStyle w:val="Compact"/>
              <w:spacing w:after="20" w:before="20"/>
              <w:jc w:val="left"/>
            </w:pPr>
            <w:r>
              <w:rPr>
                <w:sz w:val="18"/>
              </w:rPr>
              <w:t xml:space="preserve">0007</w:t>
            </w:r>
          </w:p>
        </w:tc>
        <w:tc>
          <w:tcPr>
            <w:tcW w:w="4745" w:type="dxa"/>
          </w:tcPr>
          <w:p>
            <w:pPr>
              <w:pStyle w:val="Compact"/>
              <w:spacing w:after="20" w:before="20"/>
              <w:jc w:val="left"/>
            </w:pPr>
            <w:r>
              <w:rPr>
                <w:sz w:val="18"/>
              </w:rPr>
              <w:t xml:space="preserve">Comparator: Hasura DDN or GraphQL Mesh</w:t>
            </w:r>
          </w:p>
        </w:tc>
        <w:tc>
          <w:tcPr>
            <w:tcW w:w="3536" w:type="dxa"/>
          </w:tcPr>
          <w:p>
            <w:pPr>
              <w:pStyle w:val="Compact"/>
              <w:spacing w:after="20" w:before="20"/>
              <w:jc w:val="left"/>
            </w:pPr>
            <w:r>
              <w:rPr>
                <w:sz w:val="18"/>
              </w:rPr>
              <w:t xml:space="preserve">Decided by spike S-1, Week 5</w:t>
            </w:r>
          </w:p>
        </w:tc>
      </w:tr>
    </w:tbl>
    <w:bookmarkEnd w:id="83"/>
    <w:bookmarkStart w:id="84" w:name="references"/>
    <w:p>
      <w:pPr>
        <w:pStyle w:val="Heading2"/>
      </w:pPr>
      <w:r>
        <w:t xml:space="preserve">14.2 References</w:t>
      </w:r>
    </w:p>
    <w:p>
      <w:pPr>
        <w:pStyle w:val="FirstParagraph"/>
      </w:pPr>
      <w:r>
        <w:t xml:space="preserve">HS1 references 1–8 (Stonebraker &amp; Çetintemel 2005; Lu &amp; Holubová 2019; Duggan et al. 2015; Begoli et al. 2018; Kolev et al. 2016; Zhang &amp; Lu 2019/2021; Hartig &amp; Pérez 2018; Hasura NDC and DDN documentation) carry forward. Verify pagination, DOIs and the Zhang &amp; Lu year against the style guide before submission; the UniBench README cites that paper as</w:t>
      </w:r>
      <w:r>
        <w:t xml:space="preserve"> </w:t>
      </w:r>
      <w:r>
        <w:rPr>
          <w:iCs/>
          <w:i/>
        </w:rPr>
        <w:t xml:space="preserve">Distributed and Parallel Databases</w:t>
      </w:r>
      <w:r>
        <w:t xml:space="preserve">, 2019. Added for HS2:</w:t>
      </w:r>
    </w:p>
    <w:p>
      <w:pPr>
        <w:numPr>
          <w:ilvl w:val="0"/>
          <w:numId w:val="1009"/>
        </w:numPr>
        <w:pStyle w:val="Compact"/>
      </w:pPr>
      <w:r>
        <w:t xml:space="preserve">Zhang, C., Lu, J., Xu, P., &amp; Chen, Y. (2018).</w:t>
      </w:r>
      <w:r>
        <w:t xml:space="preserve"> </w:t>
      </w:r>
      <w:r>
        <w:t xml:space="preserve">“</w:t>
      </w:r>
      <w:r>
        <w:t xml:space="preserve">UniBench: A benchmark for multi-model database management systems.</w:t>
      </w:r>
      <w:r>
        <w:t xml:space="preserve">”</w:t>
      </w:r>
      <w:r>
        <w:t xml:space="preserve"> </w:t>
      </w:r>
      <w:r>
        <w:t xml:space="preserve">TPCTC 2018, Springer.</w:t>
      </w:r>
    </w:p>
    <w:p>
      <w:pPr>
        <w:numPr>
          <w:ilvl w:val="0"/>
          <w:numId w:val="1009"/>
        </w:numPr>
        <w:pStyle w:val="Compact"/>
      </w:pPr>
      <w:r>
        <w:t xml:space="preserve">Brown, S.</w:t>
      </w:r>
      <w:r>
        <w:t xml:space="preserve"> </w:t>
      </w:r>
      <w:r>
        <w:rPr>
          <w:iCs/>
          <w:i/>
        </w:rPr>
        <w:t xml:space="preserve">The C4 model for visualising software architecture</w:t>
      </w:r>
      <w:r>
        <w:t xml:space="preserve"> </w:t>
      </w:r>
      <w:r>
        <w:t xml:space="preserve">— notation for §3.1.</w:t>
      </w:r>
    </w:p>
    <w:p>
      <w:pPr>
        <w:numPr>
          <w:ilvl w:val="0"/>
          <w:numId w:val="1009"/>
        </w:numPr>
        <w:pStyle w:val="Compact"/>
      </w:pPr>
      <w:r>
        <w:t xml:space="preserve">MacIver, D. R., et al. (2019).</w:t>
      </w:r>
      <w:r>
        <w:t xml:space="preserve"> </w:t>
      </w:r>
      <w:r>
        <w:t xml:space="preserve">“</w:t>
      </w:r>
      <w:r>
        <w:t xml:space="preserve">Hypothesis: A new approach to property-based testing.</w:t>
      </w:r>
      <w:r>
        <w:t xml:space="preserve">”</w:t>
      </w:r>
      <w:r>
        <w:t xml:space="preserve"> </w:t>
      </w:r>
      <w:r>
        <w:rPr>
          <w:iCs/>
          <w:i/>
        </w:rPr>
        <w:t xml:space="preserve">Journal of Open Source Software</w:t>
      </w:r>
      <w:r>
        <w:t xml:space="preserve">, 4(43) — basis of T-P1.</w:t>
      </w:r>
    </w:p>
    <w:bookmarkEnd w:id="84"/>
    <w:bookmarkStart w:id="91" w:name="Xcd210f530ffcb3fb568156bac0354bc04e94dfb"/>
    <w:p>
      <w:pPr>
        <w:pStyle w:val="Heading2"/>
      </w:pPr>
      <w:r>
        <w:t xml:space="preserve">14.3 Sources consulted for this package (as of 9/27/2026)</w:t>
      </w:r>
    </w:p>
    <w:p>
      <w:pPr>
        <w:numPr>
          <w:ilvl w:val="0"/>
          <w:numId w:val="1010"/>
        </w:numPr>
        <w:pStyle w:val="Compact"/>
      </w:pPr>
      <w:hyperlink r:id="rId85">
        <w:r>
          <w:rPr>
            <w:rStyle w:val="Hyperlink"/>
          </w:rPr>
          <w:t xml:space="preserve">HY-UDBMS/UniBench repository and README</w:t>
        </w:r>
      </w:hyperlink>
      <w:r>
        <w:t xml:space="preserve"> </w:t>
      </w:r>
      <w:r>
        <w:t xml:space="preserve">— no licence file at root; data provenance from LDBC, DBpedia and the Amazon product dataset; SF1 release.</w:t>
      </w:r>
    </w:p>
    <w:p>
      <w:pPr>
        <w:numPr>
          <w:ilvl w:val="0"/>
          <w:numId w:val="1010"/>
        </w:numPr>
        <w:pStyle w:val="Compact"/>
      </w:pPr>
      <w:hyperlink r:id="rId86">
        <w:r>
          <w:rPr>
            <w:rStyle w:val="Hyperlink"/>
          </w:rPr>
          <w:t xml:space="preserve">graphql-core issue #65: obtaining schema directive values</w:t>
        </w:r>
      </w:hyperlink>
      <w:r>
        <w:t xml:space="preserve"> </w:t>
      </w:r>
      <w:r>
        <w:t xml:space="preserve">—</w:t>
      </w:r>
      <w:r>
        <w:t xml:space="preserve"> </w:t>
      </w:r>
      <w:r>
        <w:rPr>
          <w:rStyle w:val="VerbatimChar"/>
        </w:rPr>
        <w:t xml:space="preserve">get_directive_values(directive, field.ast_node)</w:t>
      </w:r>
      <w:r>
        <w:t xml:space="preserve">.</w:t>
      </w:r>
    </w:p>
    <w:p>
      <w:pPr>
        <w:numPr>
          <w:ilvl w:val="0"/>
          <w:numId w:val="1010"/>
        </w:numPr>
        <w:pStyle w:val="Compact"/>
      </w:pPr>
      <w:hyperlink r:id="rId87">
        <w:r>
          <w:rPr>
            <w:rStyle w:val="Hyperlink"/>
          </w:rPr>
          <w:t xml:space="preserve">Hasura: local development support for DDN</w:t>
        </w:r>
      </w:hyperlink>
      <w:r>
        <w:t xml:space="preserve"> </w:t>
      </w:r>
      <w:r>
        <w:t xml:space="preserve">— engine and connectors run locally in Docker.</w:t>
      </w:r>
    </w:p>
    <w:p>
      <w:pPr>
        <w:numPr>
          <w:ilvl w:val="0"/>
          <w:numId w:val="1010"/>
        </w:numPr>
        <w:pStyle w:val="Compact"/>
      </w:pPr>
      <w:hyperlink r:id="rId88">
        <w:r>
          <w:rPr>
            <w:rStyle w:val="Hyperlink"/>
          </w:rPr>
          <w:t xml:space="preserve">Hasura DDN CLI: ddn supergraph build local</w:t>
        </w:r>
      </w:hyperlink>
      <w:r>
        <w:t xml:space="preserve"> </w:t>
      </w:r>
      <w:r>
        <w:t xml:space="preserve">— local build uses the DDN hosted metadata build service.</w:t>
      </w:r>
    </w:p>
    <w:p>
      <w:pPr>
        <w:numPr>
          <w:ilvl w:val="0"/>
          <w:numId w:val="1010"/>
        </w:numPr>
        <w:pStyle w:val="Compact"/>
      </w:pPr>
      <w:hyperlink r:id="rId89">
        <w:r>
          <w:rPr>
            <w:rStyle w:val="Hyperlink"/>
          </w:rPr>
          <w:t xml:space="preserve">Hasura DDN self-hosted guide</w:t>
        </w:r>
      </w:hyperlink>
      <w:r>
        <w:t xml:space="preserve"> </w:t>
      </w:r>
      <w:r>
        <w:t xml:space="preserve">— login, connector init, model and relationship add, local build sequence.</w:t>
      </w:r>
    </w:p>
    <w:p>
      <w:pPr>
        <w:numPr>
          <w:ilvl w:val="0"/>
          <w:numId w:val="1010"/>
        </w:numPr>
        <w:pStyle w:val="Compact"/>
      </w:pPr>
      <w:hyperlink r:id="rId90">
        <w:r>
          <w:rPr>
            <w:rStyle w:val="Hyperlink"/>
          </w:rPr>
          <w:t xml:space="preserve">Hasura CLI FAQ</w:t>
        </w:r>
      </w:hyperlink>
      <w:r>
        <w:t xml:space="preserve"> </w:t>
      </w:r>
      <w:r>
        <w:t xml:space="preserve">—</w:t>
      </w:r>
      <w:r>
        <w:t xml:space="preserve"> </w:t>
      </w:r>
      <w:r>
        <w:rPr>
          <w:rStyle w:val="VerbatimChar"/>
        </w:rPr>
        <w:t xml:space="preserve">docker-start</w:t>
      </w:r>
      <w:r>
        <w:t xml:space="preserve"> </w:t>
      </w:r>
      <w:r>
        <w:t xml:space="preserve">pulls the latest engine image.</w:t>
      </w:r>
    </w:p>
    <w:bookmarkEnd w:id="91"/>
    <w:bookmarkEnd w:id="92"/>
    <w:sectPr>
      <w:footerReference w:type="default" r:id="rId9"/>
      <w:pgSz w:w="12240" w:h="15840"/>
      <w:pgMar w:left="1224" w:right="1224" w:top="1224" w:bottom="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sz w:val="21"/>
    </w:rPr>
  </w:style>
  <w:style w:styleId="BodyText" w:type="paragraph">
    <w:name w:val="Body Text"/>
    <w:basedOn w:val="Normal"/>
    <w:link w:val="BodyTextChar"/>
    <w:pPr>
      <w:spacing w:after="180" w:before="180"/>
    </w:pPr>
    <w:qFormat/>
    <w:rPr>
      <w:rFonts w:ascii="Calibri" w:hAnsi="Calibri" w:cs="Calibri"/>
      <w:sz w:val="21"/>
    </w:rPr>
  </w:style>
  <w:style w:customStyle="1" w:styleId="FirstParagraph" w:type="paragraph">
    <w:name w:val="First Paragraph"/>
    <w:basedOn w:val="BodyText"/>
    <w:next w:val="BodyText"/>
    <w:qFormat/>
    <w:rPr>
      <w:rFonts w:ascii="Calibri" w:hAnsi="Calibri" w:cs="Calibri"/>
      <w:sz w:val="21"/>
    </w:rPr>
  </w:style>
  <w:style w:customStyle="1" w:styleId="Compact" w:type="paragraph">
    <w:name w:val="Compact"/>
    <w:basedOn w:val="BodyText"/>
    <w:qFormat/>
    <w:pPr>
      <w:spacing w:after="36" w:before="36"/>
    </w:pPr>
    <w:rPr>
      <w:rFonts w:ascii="Calibri" w:hAnsi="Calibri" w:cs="Calibri"/>
      <w:sz w:val="21"/>
    </w:rPr>
  </w:style>
  <w:style w:styleId="Title" w:type="paragraph">
    <w:name w:val="Title"/>
    <w:basedOn w:val="Normal"/>
    <w:next w:val="BodyText"/>
    <w:qFormat/>
    <w:pPr>
      <w:keepNext/>
      <w:keepLines/>
      <w:spacing w:after="240" w:before="480"/>
      <w:jc w:val="center"/>
    </w:pPr>
    <w:rPr>
      <w:rFonts w:ascii="Calibri" w:hAnsi="Calibri" w:cs="Calibri"/>
      <w:b/>
      <w:bCs/>
      <w:color w:val="1F3A5F"/>
      <w:sz w:val="44"/>
      <w:szCs w:val="36"/>
    </w:rPr>
  </w:style>
  <w:style w:styleId="Subtitle" w:type="paragraph">
    <w:name w:val="Subtitle"/>
    <w:basedOn w:val="Title"/>
    <w:next w:val="BodyText"/>
    <w:qFormat/>
    <w:pPr>
      <w:keepNext/>
      <w:keepLines/>
      <w:spacing w:after="240" w:before="240"/>
      <w:jc w:val="center"/>
    </w:pPr>
    <w:rPr>
      <w:rFonts w:ascii="Calibri" w:hAnsi="Calibri" w:cs="Calibri"/>
      <w:color w:val="1F3A5F"/>
      <w:sz w:val="24"/>
      <w:szCs w:val="30"/>
    </w:rPr>
  </w:style>
  <w:style w:customStyle="1" w:styleId="Author" w:type="paragraph">
    <w:name w:val="Author"/>
    <w:next w:val="BodyText"/>
    <w:qFormat/>
    <w:pPr>
      <w:keepNext/>
      <w:keepLines/>
      <w:jc w:val="center"/>
    </w:pPr>
    <w:rPr>
      <w:rFonts w:ascii="Calibri" w:hAnsi="Calibri" w:cs="Calibri"/>
    </w:rPr>
  </w:style>
  <w:style w:styleId="Date" w:type="paragraph">
    <w:name w:val="Date"/>
    <w:next w:val="BodyText"/>
    <w:qFormat/>
    <w:pPr>
      <w:keepNext/>
      <w:keepLines/>
      <w:jc w:val="center"/>
    </w:pPr>
    <w:rPr>
      <w:rFonts w:ascii="Calibri" w:hAnsi="Calibri" w:cs="Calibri"/>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0" w:before="480"/>
      <w:outlineLvl w:val="0"/>
    </w:pPr>
    <w:rPr>
      <w:rFonts w:ascii="Calibri" w:hAnsi="Calibri" w:cs="Calibri"/>
      <w:b/>
      <w:bCs/>
      <w:color w:val="1F3A5F"/>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b/>
      <w:bCs/>
      <w:color w:val="1F3A5F"/>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i/>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iCs/>
      <w:color w:val="1F3A5F"/>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color w:val="1F3A5F"/>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color w:val="1F3A5F"/>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color w:val="1F3A5F"/>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color w:val="1F3A5F"/>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cs="Calibr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b w:val="0"/>
      <w:bCs w:val="0"/>
      <w:color w:val="1F3A5F"/>
    </w:rPr>
  </w:style>
  <w:style w:type="paragraph" w:customStyle="1" w:styleId="SourceCode">
    <w:name w:val="Source Code"/>
    <w:basedOn w:val="Normal"/>
    <w:link w:val="VerbatimChar"/>
    <w:pPr>
      <w:wordWrap w:val="off"/>
    </w:pPr>
    <w:rPr>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1" Type="http://schemas.openxmlformats.org/officeDocument/2006/relationships/image" Target="media/rId31.png"/><Relationship Id="rId38" Type="http://schemas.openxmlformats.org/officeDocument/2006/relationships/image" Target="media/rId38.png"/><Relationship Id="rId27" Type="http://schemas.openxmlformats.org/officeDocument/2006/relationships/image" Target="media/rId27.png"/><Relationship Id="rId85" Type="http://schemas.openxmlformats.org/officeDocument/2006/relationships/hyperlink" Target="https://github.com/HY-UDBMS/UniBench" TargetMode="External"/><Relationship Id="rId86" Type="http://schemas.openxmlformats.org/officeDocument/2006/relationships/hyperlink" Target="https://github.com/graphql-python/graphql-core/issues/65" TargetMode="External"/><Relationship Id="rId87" Type="http://schemas.openxmlformats.org/officeDocument/2006/relationships/hyperlink" Target="https://hasura.io/blog/announcing-local-development-support-for-hasura-ddn" TargetMode="External"/><Relationship Id="rId89" Type="http://schemas.openxmlformats.org/officeDocument/2006/relationships/hyperlink" Target="https://hasura.io/docs/3.0/deployment/private/self-hosted" TargetMode="External"/><Relationship Id="rId88" Type="http://schemas.openxmlformats.org/officeDocument/2006/relationships/hyperlink" Target="https://hasura.io/docs/promptql/reference/cli/commands/ddn_supergraph_build_local" TargetMode="External"/><Relationship Id="rId90" Type="http://schemas.openxmlformats.org/officeDocument/2006/relationships/hyperlink" Target="https://hasura.io/docs/promptql/reference/cli/faq"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5" Type="http://schemas.openxmlformats.org/officeDocument/2006/relationships/hyperlink" Target="https://github.com/HY-UDBMS/UniBench" TargetMode="External"/><Relationship Id="rId86" Type="http://schemas.openxmlformats.org/officeDocument/2006/relationships/hyperlink" Target="https://github.com/graphql-python/graphql-core/issues/65" TargetMode="External"/><Relationship Id="rId87" Type="http://schemas.openxmlformats.org/officeDocument/2006/relationships/hyperlink" Target="https://hasura.io/blog/announcing-local-development-support-for-hasura-ddn" TargetMode="External"/><Relationship Id="rId89" Type="http://schemas.openxmlformats.org/officeDocument/2006/relationships/hyperlink" Target="https://hasura.io/docs/3.0/deployment/private/self-hosted" TargetMode="External"/><Relationship Id="rId88" Type="http://schemas.openxmlformats.org/officeDocument/2006/relationships/hyperlink" Target="https://hasura.io/docs/promptql/reference/cli/commands/ddn_supergraph_build_local" TargetMode="External"/><Relationship Id="rId90" Type="http://schemas.openxmlformats.org/officeDocument/2006/relationships/hyperlink" Target="https://hasura.io/docs/promptql/reference/cli/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 699 — Hard Stop 2: Design Review Package</dc:title>
  <dc:creator>Jai Behl · Supervisor: Majid Shaalan, Ph.D.</dc:creator>
  <cp:keywords/>
  <dcterms:created xsi:type="dcterms:W3CDTF">2026-09-27T21:45:15Z</dcterms:created>
  <dcterms:modified xsi:type="dcterms:W3CDTF">2026-09-27T21:45:15Z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27, 2026 · Version 0.2</vt:lpwstr>
  </property>
  <property fmtid="{D5CDD505-2E9C-101B-9397-08002B2CF9AE}" pid="3" name="subtitle">
    <vt:lpwstr>Placement as Schema: A GraphQL Federation Layer with Backend Placement Declared in the Type System, and the Workload Point Where Federation Stops Paying</vt:lpwstr>
  </property>
</Properties>
</file>