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DFT</w:t>
      </w:r>
      <w:r>
        <w:t xml:space="preserve"> </w:t>
      </w:r>
      <w:r>
        <w:t xml:space="preserve">study</w:t>
      </w:r>
      <w:r>
        <w:t xml:space="preserve"> </w:t>
      </w:r>
      <w:r>
        <w:t xml:space="preserve">to</w:t>
      </w:r>
      <w:r>
        <w:t xml:space="preserve"> </w:t>
      </w:r>
      <w:r>
        <w:t xml:space="preserve">development</w:t>
      </w:r>
      <w:r>
        <w:t xml:space="preserve"> </w:t>
      </w:r>
      <w:r>
        <w:t xml:space="preserve">a</w:t>
      </w:r>
      <w:r>
        <w:t xml:space="preserve"> </w:t>
      </w:r>
      <w:r>
        <w:t xml:space="preserve">SiO2</w:t>
      </w:r>
      <w:r>
        <w:t xml:space="preserve"> </w:t>
      </w:r>
      <w:r>
        <w:t xml:space="preserve">mesoporous</w:t>
      </w:r>
      <w:r>
        <w:t xml:space="preserve"> </w:t>
      </w:r>
      <w:r>
        <w:t xml:space="preserve">surface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Ciellie</w:t>
      </w:r>
      <w:r>
        <w:t xml:space="preserve"> </w:t>
      </w:r>
      <w:r>
        <w:t xml:space="preserve">Jansen</w:t>
      </w:r>
      <w:r>
        <w:t xml:space="preserve"> </w:t>
      </w:r>
      <w:r>
        <w:t xml:space="preserve">van</w:t>
      </w:r>
      <w:r>
        <w:t xml:space="preserve"> </w:t>
      </w:r>
      <w:r>
        <w:t xml:space="preserve">Vuuren</w:t>
      </w:r>
    </w:p>
    <w:p>
      <w:pPr>
        <w:pStyle w:val="Date"/>
      </w:pPr>
      <w:r>
        <w:t xml:space="preserve">12/6/2017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Grubbs catalysts for alkene metathesis have a vast range of advantages, but the fact that these catalysts are homogeneous makes extraction of the catalyst from the post-reaction mixtures very difficult. Because of cost implications, the re-use of the catalyst became very important [1].</w:t>
      </w:r>
      <w:r>
        <w:t xml:space="preserve">[1]</w:t>
      </w:r>
    </w:p>
    <w:p>
      <w:pPr>
        <w:pStyle w:val="BodyText"/>
      </w:pPr>
      <w:r>
        <w:t xml:space="preserve">A heterogeneous catalyst can be a solution to the above-mentioned issue. In general, the activity and selectivity of heterogeneous catalysts are lower than homogeneous catalysts, but the advantage of separation, recovery and recycling outweigh these shortcomings.</w:t>
      </w:r>
    </w:p>
    <w:p>
      <w:pPr>
        <w:pStyle w:val="BodyText"/>
      </w:pPr>
      <w:r>
        <w:t xml:space="preserve">According to literature mesoporous support materials, are ideal heterogeneous support materials [2,3]. In this study, we decided to focus on the SBA-15 and MCM-41 mesoporous support material.</w:t>
      </w:r>
    </w:p>
    <w:p>
      <w:pPr>
        <w:pStyle w:val="BodyText"/>
      </w:pPr>
      <w:r>
        <w:t xml:space="preserve">The first step in modelling a SBA-15 or MCM-41 mesoporous surface is to create an amorphous SiO2 bulk using an alpha-quartz (space group 180). The 3X3X3 supercell was submitted to dynamics studies using Materials Studio’s CASTEP module and VASP 5.3 [4,5]. This was done and I will discuss the procedure that I followed to accomplish this.</w:t>
      </w:r>
    </w:p>
    <w:p>
      <w:pPr>
        <w:pStyle w:val="BodyText"/>
      </w:pPr>
      <w:r>
        <w:t xml:space="preserve">To do surface calculations it became very difficult, using the amorphous SiO2 bulk. We decide to use a crystalline 3X3X3 SiO2 bulk, using VASP 5.3. An Ab Initio Molecular Dynamics study will be done on all surfaces using VASP 5.3. A comparison between the amorphous and crystalline surfaces will be discussed</w:t>
      </w:r>
    </w:p>
    <w:p>
      <w:pPr>
        <w:pStyle w:val="Heading1"/>
      </w:pPr>
      <w:bookmarkStart w:id="22" w:name="experimental-work-2017"/>
      <w:bookmarkEnd w:id="22"/>
      <w:r>
        <w:t xml:space="preserve">Experimental work 2017</w:t>
      </w:r>
    </w:p>
    <w:p>
      <w:pPr>
        <w:pStyle w:val="Heading3"/>
      </w:pPr>
      <w:bookmarkStart w:id="23" w:name="amorphous-sio2-bulk"/>
      <w:bookmarkEnd w:id="23"/>
      <w:r>
        <w:t xml:space="preserve">1. Amorphous SiO</w:t>
      </w:r>
      <w:r>
        <w:rPr>
          <w:vertAlign w:val="subscript"/>
        </w:rPr>
        <w:t xml:space="preserve">2</w:t>
      </w:r>
      <w:r>
        <w:t xml:space="preserve"> </w:t>
      </w:r>
      <w:r>
        <w:t xml:space="preserve">Bulk</w:t>
      </w:r>
    </w:p>
    <w:p>
      <w:pPr>
        <w:pStyle w:val="Heading4"/>
      </w:pPr>
      <w:bookmarkStart w:id="24" w:name="method"/>
      <w:bookmarkEnd w:id="24"/>
      <w:r>
        <w:t xml:space="preserve">Method:</w:t>
      </w:r>
    </w:p>
    <w:p>
      <w:pPr>
        <w:pStyle w:val="FirstParagraph"/>
      </w:pPr>
      <w:r>
        <w:t xml:space="preserve">A 3x3x3 alpha-quartz, spacegroup 180, super-cell was built in the Materials Studio</w:t>
      </w:r>
      <w:r>
        <w:t xml:space="preserve"> </w:t>
      </w:r>
      <w:r>
        <w:t xml:space="preserve">software package.</w:t>
      </w:r>
    </w:p>
    <w:p>
      <w:pPr>
        <w:numPr>
          <w:numId w:val="1001"/>
          <w:ilvl w:val="0"/>
        </w:numPr>
      </w:pPr>
      <w:r>
        <w:t xml:space="preserve">The annealing process of the alpha-quartz to obtain an amorphous solid was</w:t>
      </w:r>
      <w:r>
        <w:t xml:space="preserve"> </w:t>
      </w:r>
      <w:r>
        <w:t xml:space="preserve">simulated using the CASTEP dynamic study module of the Materials Studio</w:t>
      </w:r>
      <w:r>
        <w:t xml:space="preserve"> </w:t>
      </w:r>
      <w:r>
        <w:t xml:space="preserve">software package.</w:t>
      </w:r>
    </w:p>
    <w:p>
      <w:pPr>
        <w:numPr>
          <w:numId w:val="1001"/>
          <w:ilvl w:val="0"/>
        </w:numPr>
      </w:pPr>
      <w:r>
        <w:t xml:space="preserve">The bulk was heated to 4000, 5000 and 6000K in 50, 100 and 150 steps of 1fs</w:t>
      </w:r>
      <w:r>
        <w:t xml:space="preserve"> </w:t>
      </w:r>
      <w:r>
        <w:t xml:space="preserve">each. After the heating step, the bulk was quenched to 1K in two 1fs steps.</w:t>
      </w:r>
    </w:p>
    <w:p>
      <w:pPr>
        <w:numPr>
          <w:numId w:val="1001"/>
          <w:ilvl w:val="0"/>
        </w:numPr>
      </w:pPr>
      <w:r>
        <w:t xml:space="preserve">Each resulting structure was again heated to 1000K in the same number of steps</w:t>
      </w:r>
      <w:r>
        <w:t xml:space="preserve"> </w:t>
      </w:r>
      <w:r>
        <w:t xml:space="preserve">as in the first heating step and finally cooled down to 300K in the same number</w:t>
      </w:r>
      <w:r>
        <w:t xml:space="preserve"> </w:t>
      </w:r>
      <w:r>
        <w:t xml:space="preserve">of steps.</w:t>
      </w:r>
    </w:p>
    <w:p>
      <w:pPr>
        <w:pStyle w:val="FirstParagraph"/>
      </w:pPr>
      <w:r>
        <w:t xml:space="preserve">The resulting structures (Figure 2) was each submitted to a DFT calculation to</w:t>
      </w:r>
      <w:r>
        <w:t xml:space="preserve"> </w:t>
      </w:r>
      <w:r>
        <w:t xml:space="preserve">determine various indicating properties. The calculated and measured properties</w:t>
      </w:r>
      <w:r>
        <w:t xml:space="preserve"> </w:t>
      </w:r>
      <w:r>
        <w:t xml:space="preserve">included:</w:t>
      </w:r>
    </w:p>
    <w:p>
      <w:pPr>
        <w:numPr>
          <w:numId w:val="1002"/>
          <w:ilvl w:val="0"/>
        </w:numPr>
      </w:pPr>
      <w:r>
        <w:t xml:space="preserve">Energy</w:t>
      </w:r>
    </w:p>
    <w:p>
      <w:pPr>
        <w:numPr>
          <w:numId w:val="1002"/>
          <w:ilvl w:val="0"/>
        </w:numPr>
      </w:pPr>
      <w:r>
        <w:t xml:space="preserve">Bond Angles</w:t>
      </w:r>
    </w:p>
    <w:p>
      <w:pPr>
        <w:numPr>
          <w:numId w:val="1002"/>
          <w:ilvl w:val="0"/>
        </w:numPr>
      </w:pPr>
      <w:r>
        <w:t xml:space="preserve">Density of states</w:t>
      </w:r>
    </w:p>
    <w:p>
      <w:pPr>
        <w:numPr>
          <w:numId w:val="1002"/>
          <w:ilvl w:val="0"/>
        </w:numPr>
      </w:pPr>
      <w:r>
        <w:t xml:space="preserve">Band Gap</w:t>
      </w:r>
    </w:p>
    <w:p>
      <w:pPr>
        <w:pStyle w:val="Heading4"/>
      </w:pPr>
      <w:bookmarkStart w:id="25" w:name="results"/>
      <w:bookmarkEnd w:id="25"/>
      <w:r>
        <w:t xml:space="preserve">Results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step_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k-point-energy-convergence"/>
      <w:bookmarkEnd w:id="27"/>
      <w:r>
        <w:t xml:space="preserve">2. K-point energy convergence</w:t>
      </w:r>
    </w:p>
    <w:p>
      <w:pPr>
        <w:pStyle w:val="Heading3"/>
      </w:pPr>
      <w:bookmarkStart w:id="28" w:name="determine-surface-energies"/>
      <w:bookmarkEnd w:id="28"/>
      <w:r>
        <w:t xml:space="preserve">3. Determine surface energies</w:t>
      </w:r>
    </w:p>
    <w:p>
      <w:pPr>
        <w:pStyle w:val="Compact"/>
        <w:numPr>
          <w:numId w:val="1003"/>
          <w:ilvl w:val="0"/>
        </w:numPr>
      </w:pPr>
      <w:r>
        <w:t xml:space="preserve">This tutorials show the basic principals for calculating surface characteristics</w:t>
      </w:r>
      <w:r>
        <w:t xml:space="preserve"> </w:t>
      </w:r>
      <w:r>
        <w:t xml:space="preserve">[2]</w:t>
      </w:r>
      <w:r>
        <w:t xml:space="preserve"> </w:t>
      </w:r>
      <w:r>
        <w:t xml:space="preserve">[3]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9" w:name="including-plots"/>
      <w:bookmarkEnd w:id="29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ibliography"/>
      </w:pPr>
      <w:r>
        <w:t xml:space="preserve">1. Balcar H, Čejka J, Sedláček J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[Rh(cod)Cl]2 complex immobilized on mesoporous molecular sieves mcm-41-a new hybrid catalyst for polymerization of phenylacetylene.</w:t>
      </w:r>
      <w:r>
        <w:t xml:space="preserve"> </w:t>
      </w:r>
      <w:r>
        <w:rPr>
          <w:i/>
        </w:rPr>
        <w:t xml:space="preserve">Journal of Molecular Catalysis A: Chemical</w:t>
      </w:r>
      <w:r>
        <w:t xml:space="preserve"> </w:t>
      </w:r>
      <w:r>
        <w:t xml:space="preserve">2003;</w:t>
      </w:r>
      <w:r>
        <w:rPr>
          <w:b/>
        </w:rPr>
        <w:t xml:space="preserve">203</w:t>
      </w:r>
      <w:r>
        <w:t xml:space="preserve">:287–98.</w:t>
      </w:r>
    </w:p>
    <w:p>
      <w:pPr>
        <w:pStyle w:val="Bibliography"/>
      </w:pPr>
      <w:r>
        <w:t xml:space="preserve">2. University of Vienna F of P, Center for Computational Materials Science A Vienna. VASP tutorial: A bit of surface science.</w:t>
      </w:r>
    </w:p>
    <w:p>
      <w:pPr>
        <w:pStyle w:val="Bibliography"/>
      </w:pPr>
      <w:r>
        <w:t xml:space="preserve">3. Ni 100 surface relaxation. 2014.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2769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55fad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5e46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DFT study to development a SiO2 mesoporous surface model</dc:title>
  <dc:creator>Ciellie Jansen van Vuuren</dc:creator>
  <dcterms:created xsi:type="dcterms:W3CDTF">2017-12-10T18:13:29Z</dcterms:created>
  <dcterms:modified xsi:type="dcterms:W3CDTF">2017-12-10T18:13:29Z</dcterms:modified>
</cp:coreProperties>
</file>