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AC349" w14:textId="15C703B1" w:rsidR="00CB3548" w:rsidRPr="00CB3548" w:rsidRDefault="00CB3548" w:rsidP="00CB3548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B3548">
        <w:rPr>
          <w:rFonts w:ascii="Arial" w:hAnsi="Arial" w:cs="Arial"/>
          <w:b/>
          <w:bCs/>
          <w:sz w:val="36"/>
          <w:szCs w:val="36"/>
        </w:rPr>
        <w:t>Análise de Séries Temporais da Inadimplência no</w:t>
      </w:r>
      <w:r>
        <w:rPr>
          <w:rFonts w:ascii="Arial" w:hAnsi="Arial" w:cs="Arial"/>
          <w:b/>
          <w:bCs/>
          <w:sz w:val="36"/>
          <w:szCs w:val="36"/>
        </w:rPr>
        <w:t xml:space="preserve"> </w:t>
      </w:r>
      <w:r w:rsidRPr="00CB3548">
        <w:rPr>
          <w:rFonts w:ascii="Arial" w:hAnsi="Arial" w:cs="Arial"/>
          <w:b/>
          <w:bCs/>
          <w:sz w:val="36"/>
          <w:szCs w:val="36"/>
        </w:rPr>
        <w:t>Brasil</w:t>
      </w:r>
    </w:p>
    <w:p w14:paraId="1043FF48" w14:textId="77777777" w:rsidR="00162EA6" w:rsidRPr="00162EA6" w:rsidRDefault="00162EA6" w:rsidP="00162EA6">
      <w:pPr>
        <w:rPr>
          <w:rFonts w:ascii="Arial" w:hAnsi="Arial" w:cs="Arial"/>
          <w:b/>
          <w:bCs/>
        </w:rPr>
      </w:pPr>
    </w:p>
    <w:p w14:paraId="66FB6B58" w14:textId="77777777" w:rsidR="00162EA6" w:rsidRPr="00162EA6" w:rsidRDefault="00162EA6" w:rsidP="00162EA6">
      <w:pPr>
        <w:pStyle w:val="Default"/>
        <w:rPr>
          <w:rFonts w:ascii="Arial" w:hAnsi="Arial" w:cs="Arial"/>
        </w:rPr>
      </w:pPr>
    </w:p>
    <w:p w14:paraId="5651EEBA" w14:textId="016450C4" w:rsidR="00162EA6" w:rsidRPr="00162EA6" w:rsidRDefault="00162EA6" w:rsidP="00162EA6">
      <w:pPr>
        <w:pStyle w:val="Default"/>
        <w:rPr>
          <w:rFonts w:ascii="Arial" w:hAnsi="Arial" w:cs="Arial"/>
          <w:b/>
          <w:color w:val="002060"/>
        </w:rPr>
      </w:pPr>
      <w:r w:rsidRPr="00162EA6">
        <w:rPr>
          <w:rFonts w:ascii="Arial" w:hAnsi="Arial" w:cs="Arial"/>
          <w:b/>
          <w:color w:val="002060"/>
        </w:rPr>
        <w:t xml:space="preserve">NOME: João Paulo </w:t>
      </w:r>
      <w:proofErr w:type="spellStart"/>
      <w:r w:rsidRPr="00162EA6">
        <w:rPr>
          <w:rFonts w:ascii="Arial" w:hAnsi="Arial" w:cs="Arial"/>
          <w:b/>
          <w:color w:val="002060"/>
        </w:rPr>
        <w:t>Bonagurio</w:t>
      </w:r>
      <w:proofErr w:type="spellEnd"/>
      <w:r w:rsidRPr="00162EA6">
        <w:rPr>
          <w:rFonts w:ascii="Arial" w:hAnsi="Arial" w:cs="Arial"/>
          <w:b/>
          <w:color w:val="002060"/>
        </w:rPr>
        <w:t xml:space="preserve"> Ramirez 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  <w:t>RA:22.01247-8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br/>
        <w:t>NOME: Lucas Olivares Borges da Silva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  <w:t>RA:22.00889-6</w:t>
      </w:r>
    </w:p>
    <w:p w14:paraId="204034A8" w14:textId="007B15A5" w:rsidR="00162EA6" w:rsidRPr="00162EA6" w:rsidRDefault="00162EA6" w:rsidP="00162EA6">
      <w:pPr>
        <w:pStyle w:val="Default"/>
        <w:rPr>
          <w:rFonts w:ascii="Arial" w:hAnsi="Arial" w:cs="Arial"/>
          <w:b/>
          <w:color w:val="002060"/>
        </w:rPr>
      </w:pPr>
      <w:r w:rsidRPr="00162EA6">
        <w:rPr>
          <w:rFonts w:ascii="Arial" w:hAnsi="Arial" w:cs="Arial"/>
          <w:b/>
          <w:color w:val="002060"/>
        </w:rPr>
        <w:t xml:space="preserve">NOME: </w:t>
      </w:r>
      <w:proofErr w:type="spellStart"/>
      <w:r w:rsidRPr="00162EA6">
        <w:rPr>
          <w:rFonts w:ascii="Arial" w:hAnsi="Arial" w:cs="Arial"/>
          <w:b/>
          <w:color w:val="002060"/>
        </w:rPr>
        <w:t>Luis</w:t>
      </w:r>
      <w:proofErr w:type="spellEnd"/>
      <w:r w:rsidRPr="00162EA6">
        <w:rPr>
          <w:rFonts w:ascii="Arial" w:hAnsi="Arial" w:cs="Arial"/>
          <w:b/>
          <w:color w:val="002060"/>
        </w:rPr>
        <w:t xml:space="preserve"> Gustavo Machado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>RA:21.00322-0</w:t>
      </w:r>
      <w:r w:rsidRPr="00162EA6">
        <w:rPr>
          <w:rFonts w:ascii="Arial" w:hAnsi="Arial" w:cs="Arial"/>
          <w:b/>
          <w:color w:val="002060"/>
        </w:rPr>
        <w:br/>
        <w:t>NOME: Tiago Tadeu de Azevedo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  <w:t>RA:22.00856-0</w:t>
      </w:r>
    </w:p>
    <w:p w14:paraId="5A30D7C3" w14:textId="0CFA1564" w:rsidR="00162EA6" w:rsidRPr="00162EA6" w:rsidRDefault="00162EA6" w:rsidP="00162EA6">
      <w:pPr>
        <w:pStyle w:val="Default"/>
        <w:rPr>
          <w:rFonts w:ascii="Arial" w:hAnsi="Arial" w:cs="Arial"/>
          <w:b/>
          <w:color w:val="002060"/>
        </w:rPr>
      </w:pPr>
      <w:r w:rsidRPr="00162EA6">
        <w:rPr>
          <w:rFonts w:ascii="Arial" w:hAnsi="Arial" w:cs="Arial"/>
          <w:b/>
          <w:color w:val="002060"/>
        </w:rPr>
        <w:t>NOME: Victor Augusto de Gasperi</w:t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ab/>
      </w:r>
      <w:r>
        <w:rPr>
          <w:rFonts w:ascii="Arial" w:hAnsi="Arial" w:cs="Arial"/>
          <w:b/>
          <w:color w:val="002060"/>
        </w:rPr>
        <w:tab/>
      </w:r>
      <w:r w:rsidRPr="00162EA6">
        <w:rPr>
          <w:rFonts w:ascii="Arial" w:hAnsi="Arial" w:cs="Arial"/>
          <w:b/>
          <w:color w:val="002060"/>
        </w:rPr>
        <w:t>RA:22.00765-2</w:t>
      </w:r>
      <w:r w:rsidRPr="00162EA6">
        <w:rPr>
          <w:rFonts w:ascii="Arial" w:hAnsi="Arial" w:cs="Arial"/>
          <w:b/>
          <w:color w:val="002060"/>
        </w:rPr>
        <w:br/>
      </w:r>
    </w:p>
    <w:p w14:paraId="4B202798" w14:textId="77777777" w:rsidR="00CB3548" w:rsidRPr="00CB3548" w:rsidRDefault="00CB3548" w:rsidP="00CB3548">
      <w:pPr>
        <w:rPr>
          <w:rFonts w:ascii="Arial" w:hAnsi="Arial" w:cs="Arial"/>
          <w:b/>
          <w:bCs/>
        </w:rPr>
      </w:pPr>
      <w:r w:rsidRPr="00CB3548">
        <w:rPr>
          <w:rFonts w:ascii="Arial" w:hAnsi="Arial" w:cs="Arial"/>
          <w:b/>
          <w:bCs/>
        </w:rPr>
        <w:t>Introdução</w:t>
      </w:r>
    </w:p>
    <w:p w14:paraId="1708D07C" w14:textId="77777777" w:rsidR="00CB3548" w:rsidRPr="00CB3548" w:rsidRDefault="00CB3548" w:rsidP="00CB3548">
      <w:p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A inadimplência é um dos principais termômetros da saúde financeira das famílias e empresas, refletindo diretamente as condições econômicas de um país. O objetivo desta segunda etapa do projeto é analisar a evolução histórica da taxa de inadimplência no Brasil e investigar sua relação com dois dos mais importantes indicadores macroeconômicos nacionais: a taxa básica de juros (SELIC) e a inflação oficial (IPCA). Compreender como o custo do crédito e a perda do poder de compra impactam a capacidade de pagamento é fundamental para a elaboração de cenários de risco e formulação de políticas de crédito.</w:t>
      </w:r>
    </w:p>
    <w:p w14:paraId="4832DF31" w14:textId="77777777" w:rsidR="00CB3548" w:rsidRPr="00CB3548" w:rsidRDefault="00CB3548" w:rsidP="00CB3548">
      <w:pPr>
        <w:jc w:val="both"/>
        <w:rPr>
          <w:rFonts w:ascii="Arial" w:hAnsi="Arial" w:cs="Arial"/>
          <w:b/>
          <w:bCs/>
        </w:rPr>
      </w:pPr>
      <w:r w:rsidRPr="00CB3548">
        <w:rPr>
          <w:rFonts w:ascii="Arial" w:hAnsi="Arial" w:cs="Arial"/>
          <w:b/>
          <w:bCs/>
        </w:rPr>
        <w:t>Métodos</w:t>
      </w:r>
    </w:p>
    <w:p w14:paraId="62A932D7" w14:textId="77777777" w:rsidR="00CB3548" w:rsidRPr="00CB3548" w:rsidRDefault="00CB3548" w:rsidP="00CB3548">
      <w:p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Para realizar esta análise, foram utilizados dados públicos extraídos diretamente do Sistema Gerenciador de Séries Temporais (SGS) do Banco Central do Brasil (BCB) via requisições de API (</w:t>
      </w:r>
      <w:proofErr w:type="spellStart"/>
      <w:r w:rsidRPr="00CB3548">
        <w:rPr>
          <w:rFonts w:ascii="Arial" w:hAnsi="Arial" w:cs="Arial"/>
        </w:rPr>
        <w:t>requests</w:t>
      </w:r>
      <w:proofErr w:type="spellEnd"/>
      <w:r w:rsidRPr="00CB3548">
        <w:rPr>
          <w:rFonts w:ascii="Arial" w:hAnsi="Arial" w:cs="Arial"/>
        </w:rPr>
        <w:t>).</w:t>
      </w:r>
    </w:p>
    <w:p w14:paraId="10104C5B" w14:textId="77777777" w:rsidR="00CB3548" w:rsidRPr="00CB3548" w:rsidRDefault="00CB3548" w:rsidP="00CB3548">
      <w:p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A base de dados foi construída unificando as seguintes séries temporais:</w:t>
      </w:r>
    </w:p>
    <w:p w14:paraId="5C4E0843" w14:textId="77777777" w:rsidR="00CB3548" w:rsidRPr="00CB3548" w:rsidRDefault="00CB3548" w:rsidP="00CB354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Inadimplência Total (%): Série SGS 21082, que representa o percentual de atrasos nos pagamentos.</w:t>
      </w:r>
    </w:p>
    <w:p w14:paraId="389FDDF0" w14:textId="77777777" w:rsidR="00CB3548" w:rsidRPr="00CB3548" w:rsidRDefault="00CB3548" w:rsidP="00CB354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Taxa SELIC (% a.a.): Série SGS 4390, refletindo o custo básico do crédito.</w:t>
      </w:r>
    </w:p>
    <w:p w14:paraId="681213BB" w14:textId="77777777" w:rsidR="00CB3548" w:rsidRPr="00CB3548" w:rsidRDefault="00CB3548" w:rsidP="00CB3548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IPCA (% mensal): Série SGS 433, representando a variação da inflação.</w:t>
      </w:r>
    </w:p>
    <w:p w14:paraId="188BDB15" w14:textId="77777777" w:rsidR="00CB3548" w:rsidRPr="00CB3548" w:rsidRDefault="00CB3548" w:rsidP="00CB3548">
      <w:p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Os dados foram filtrados para contemplar o período de janeiro de 2011 até o momento atual, garantindo uma janela temporal ampla o suficiente para capturar diferentes ciclos econômicos. Para a análise exploratória, foram empregadas duas abordagens visuais principais:</w:t>
      </w:r>
    </w:p>
    <w:p w14:paraId="4860688E" w14:textId="77777777" w:rsidR="00CB3548" w:rsidRPr="00CB3548" w:rsidRDefault="00CB3548" w:rsidP="00CB354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Gráfico de Linhas com Eixos Duplos: Para sobrepor a evolução da inadimplência e da taxa SELIC ao longo do tempo, permitindo a identificação visual de tendências, defasagens (</w:t>
      </w:r>
      <w:proofErr w:type="spellStart"/>
      <w:r w:rsidRPr="00CB3548">
        <w:rPr>
          <w:rFonts w:ascii="Arial" w:hAnsi="Arial" w:cs="Arial"/>
        </w:rPr>
        <w:t>lags</w:t>
      </w:r>
      <w:proofErr w:type="spellEnd"/>
      <w:r w:rsidRPr="00CB3548">
        <w:rPr>
          <w:rFonts w:ascii="Arial" w:hAnsi="Arial" w:cs="Arial"/>
        </w:rPr>
        <w:t>) e movimentos coordenados.</w:t>
      </w:r>
    </w:p>
    <w:p w14:paraId="3597E4B5" w14:textId="77777777" w:rsidR="00CB3548" w:rsidRPr="00CB3548" w:rsidRDefault="00CB3548" w:rsidP="00CB3548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lastRenderedPageBreak/>
        <w:t>Matriz de Correlação (</w:t>
      </w:r>
      <w:proofErr w:type="spellStart"/>
      <w:r w:rsidRPr="00CB3548">
        <w:rPr>
          <w:rFonts w:ascii="Arial" w:hAnsi="Arial" w:cs="Arial"/>
        </w:rPr>
        <w:t>Heatmap</w:t>
      </w:r>
      <w:proofErr w:type="spellEnd"/>
      <w:r w:rsidRPr="00CB3548">
        <w:rPr>
          <w:rFonts w:ascii="Arial" w:hAnsi="Arial" w:cs="Arial"/>
        </w:rPr>
        <w:t>): Utilizada para quantificar o grau de associação linear (Correlação de Pearson) entre as três variáveis estudadas.</w:t>
      </w:r>
    </w:p>
    <w:p w14:paraId="1F2DB46B" w14:textId="77777777" w:rsidR="00CB3548" w:rsidRPr="00CB3548" w:rsidRDefault="00CB3548" w:rsidP="00CB3548">
      <w:pPr>
        <w:jc w:val="both"/>
        <w:rPr>
          <w:rFonts w:ascii="Arial" w:hAnsi="Arial" w:cs="Arial"/>
          <w:b/>
          <w:bCs/>
        </w:rPr>
      </w:pPr>
      <w:r w:rsidRPr="00CB3548">
        <w:rPr>
          <w:rFonts w:ascii="Arial" w:hAnsi="Arial" w:cs="Arial"/>
          <w:b/>
          <w:bCs/>
        </w:rPr>
        <w:t>Discussão dos Resultados e Conclusões</w:t>
      </w:r>
    </w:p>
    <w:p w14:paraId="376F3D58" w14:textId="77777777" w:rsidR="00CB3548" w:rsidRPr="00CB3548" w:rsidRDefault="00CB3548" w:rsidP="00CB3548">
      <w:p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A partir da visualização e do cruzamento das séries temporais, foi possível observar a dinâmica entre o cenário macroeconômico e o comportamento dos devedores:</w:t>
      </w:r>
    </w:p>
    <w:p w14:paraId="419135F4" w14:textId="77777777" w:rsidR="00CB3548" w:rsidRPr="00CB3548" w:rsidRDefault="00CB3548" w:rsidP="00CB354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Evolução Temporal e Ciclos Econômicos: O gráfico de evolução demonstra como os movimentos de aperto monetário (elevação da taxa SELIC para conter a inflação) afetam o nível de inadimplência. Historicamente, períodos prolongados de juros altos encarecem o crédito e o refinanciamento de dívidas, o que costuma se refletir em uma pressão de alta na linha de inadimplência, muitas vezes com alguns meses de defasagem, à medida que a renda das famílias é espremida.</w:t>
      </w:r>
    </w:p>
    <w:p w14:paraId="7ACFBB70" w14:textId="77777777" w:rsidR="00CB3548" w:rsidRPr="00CB3548" w:rsidRDefault="00CB3548" w:rsidP="00CB3548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CB3548">
        <w:rPr>
          <w:rFonts w:ascii="Arial" w:hAnsi="Arial" w:cs="Arial"/>
        </w:rPr>
        <w:t>Correlação entre Variáveis: A matriz de correlação revelou de forma quantitativa a força da interação entre os indicadores. A relação entre a SELIC e a Inadimplência destaca o impacto do custo do dinheiro nos calotes. Já a correlação com o IPCA ilustra como o choque de preços corrói o orçamento, forçando os agentes econômicos a priorizarem gastos essenciais em detrimento do pagamento de dívidas financeiras.</w:t>
      </w:r>
    </w:p>
    <w:p w14:paraId="0E56A3D0" w14:textId="77777777" w:rsidR="00CB3548" w:rsidRPr="00CB3548" w:rsidRDefault="00CB3548" w:rsidP="00CB3548">
      <w:pPr>
        <w:numPr>
          <w:ilvl w:val="0"/>
          <w:numId w:val="7"/>
        </w:numPr>
        <w:jc w:val="both"/>
        <w:rPr>
          <w:rFonts w:ascii="Arial" w:hAnsi="Arial" w:cs="Arial"/>
          <w:b/>
          <w:bCs/>
        </w:rPr>
      </w:pPr>
      <w:r w:rsidRPr="00CB3548">
        <w:rPr>
          <w:rFonts w:ascii="Arial" w:hAnsi="Arial" w:cs="Arial"/>
        </w:rPr>
        <w:t>Conclusão Geral: A análise confirma que a inadimplência não é um fenômeno isolado, mas sim uma variável dependente do ecossistema macroeconômico. O encarecimento do crédito (SELIC) e a inflação (IPCA) atuam como estressores contínuos sobre a capacidade de pagamento no país</w:t>
      </w:r>
      <w:r w:rsidRPr="00CB3548">
        <w:rPr>
          <w:rFonts w:ascii="Arial" w:hAnsi="Arial" w:cs="Arial"/>
          <w:b/>
          <w:bCs/>
        </w:rPr>
        <w:t>.</w:t>
      </w:r>
    </w:p>
    <w:p w14:paraId="51AB8448" w14:textId="77777777" w:rsidR="00185C91" w:rsidRPr="00162EA6" w:rsidRDefault="00185C91" w:rsidP="00CB3548">
      <w:pPr>
        <w:jc w:val="both"/>
        <w:rPr>
          <w:rFonts w:ascii="Arial" w:hAnsi="Arial" w:cs="Arial"/>
        </w:rPr>
      </w:pPr>
    </w:p>
    <w:sectPr w:rsidR="00185C91" w:rsidRPr="00162E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733F"/>
    <w:multiLevelType w:val="multilevel"/>
    <w:tmpl w:val="F48E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4C02"/>
    <w:multiLevelType w:val="multilevel"/>
    <w:tmpl w:val="57A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2531F"/>
    <w:multiLevelType w:val="multilevel"/>
    <w:tmpl w:val="1EBA3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15B56"/>
    <w:multiLevelType w:val="multilevel"/>
    <w:tmpl w:val="6046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2C0EAC"/>
    <w:multiLevelType w:val="multilevel"/>
    <w:tmpl w:val="FC74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25DBF"/>
    <w:multiLevelType w:val="multilevel"/>
    <w:tmpl w:val="810C3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194660"/>
    <w:multiLevelType w:val="multilevel"/>
    <w:tmpl w:val="1C16B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5521925">
    <w:abstractNumId w:val="2"/>
  </w:num>
  <w:num w:numId="2" w16cid:durableId="1831823103">
    <w:abstractNumId w:val="0"/>
  </w:num>
  <w:num w:numId="3" w16cid:durableId="2121751641">
    <w:abstractNumId w:val="3"/>
  </w:num>
  <w:num w:numId="4" w16cid:durableId="1818303193">
    <w:abstractNumId w:val="1"/>
  </w:num>
  <w:num w:numId="5" w16cid:durableId="1817331742">
    <w:abstractNumId w:val="4"/>
  </w:num>
  <w:num w:numId="6" w16cid:durableId="1929926677">
    <w:abstractNumId w:val="6"/>
  </w:num>
  <w:num w:numId="7" w16cid:durableId="16048474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A6"/>
    <w:rsid w:val="00162EA6"/>
    <w:rsid w:val="00185C91"/>
    <w:rsid w:val="00574F7C"/>
    <w:rsid w:val="00BD7DBB"/>
    <w:rsid w:val="00CB3548"/>
    <w:rsid w:val="00D43D42"/>
    <w:rsid w:val="00E0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100F"/>
  <w15:chartTrackingRefBased/>
  <w15:docId w15:val="{FC6AC803-DB59-4FD4-A3B7-3874C620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62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62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62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62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62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62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62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62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62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62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62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162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162EA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62EA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62EA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62EA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62EA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62EA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62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62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62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62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62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62EA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62EA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62EA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62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62EA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62EA6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162EA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162EA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532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Olivares</dc:creator>
  <cp:keywords/>
  <dc:description/>
  <cp:lastModifiedBy>Lucas Olivares</cp:lastModifiedBy>
  <cp:revision>2</cp:revision>
  <dcterms:created xsi:type="dcterms:W3CDTF">2026-06-16T01:15:00Z</dcterms:created>
  <dcterms:modified xsi:type="dcterms:W3CDTF">2026-06-16T01:15:00Z</dcterms:modified>
</cp:coreProperties>
</file>