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SASAIMA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SASAIMA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SASAIMA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SASAIMA se presenta un total de 215 radicados entre los años 2024 y 2025. Los valores se desagregan para los años 2024 y 2025. Para estos dos años se han finalizado el 47%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215 radicados del municipio de SASAIMA, más del 0.9%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