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UNE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UNE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UNE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UNE se presenta un total de 138 radicados entre los años 2024 y 2025. Los valores se desagregan para los años 2024 y 2025. Para estos dos años se han finalizado el 59%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138 radicados del municipio de UNE, más del 0.7%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