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BE94" w14:textId="77777777" w:rsidR="002E65CE" w:rsidRPr="002E65CE" w:rsidRDefault="002E65CE" w:rsidP="002E65CE">
      <w:pPr>
        <w:jc w:val="both"/>
        <w:rPr>
          <w:lang w:val="es-ES"/>
        </w:rPr>
      </w:pPr>
      <w:r w:rsidRPr="002E65CE">
        <w:rPr>
          <w:lang w:val="es-ES"/>
        </w:rPr>
        <w:t xml:space="preserve">En el marco de la estrategia de fortalecimiento de capacidades territoriales y con el propósito de facilitar la apropiación y uso de la información catastral, se brindó acompañamiento técnico a la Secretaría de </w:t>
      </w:r>
      <w:proofErr w:type="spellStart"/>
      <w:r w:rsidRPr="002E65CE">
        <w:rPr>
          <w:lang w:val="es-ES"/>
        </w:rPr>
        <w:t>Agrocampesinado</w:t>
      </w:r>
      <w:proofErr w:type="spellEnd"/>
      <w:r w:rsidRPr="002E65CE">
        <w:rPr>
          <w:lang w:val="es-ES"/>
        </w:rPr>
        <w:t xml:space="preserve"> mediante la generación y entrega de insumos estructurados para el análisis de información predial. En este sentido, se elaboraron archivos en formato Excel correspondientes a la consulta de folios de matrícula inmobiliaria (FMI) para los municipios priorizados, organizados en diferentes pestañas que permiten la lectura integral de los datos básicos, anotaciones jurídicas, registros no consultados y la identificación de posibles condiciones de informalidad.</w:t>
      </w:r>
    </w:p>
    <w:p w14:paraId="3F652C8D" w14:textId="5182CA53" w:rsidR="002E65CE" w:rsidRPr="002E65CE" w:rsidRDefault="002E65CE" w:rsidP="002E65CE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2198B6B5" wp14:editId="02F1EE6C">
            <wp:extent cx="5902534" cy="3409999"/>
            <wp:effectExtent l="0" t="0" r="3175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0A1E740-A088-0007-D4A0-F1166F5943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0A1E740-A088-0007-D4A0-F1166F5943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4475" cy="344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195C" w14:textId="77777777" w:rsidR="002E65CE" w:rsidRDefault="002E65CE" w:rsidP="002E65CE">
      <w:pPr>
        <w:jc w:val="both"/>
        <w:rPr>
          <w:lang w:val="es-ES"/>
        </w:rPr>
      </w:pPr>
      <w:r w:rsidRPr="002E65CE">
        <w:rPr>
          <w:lang w:val="es-ES"/>
        </w:rPr>
        <w:t>Adicionalmente, se incorporaron herramientas de análisis como tablas dinámicas y cruces con criterios definidos por la UPRA, orientadas a facilitar la interpretación de la información y fortalecer las capacidades técnicas de los equipos territoriales en la identificación de fenómenos asociados a la informalidad predial. Este ejercicio contribuye a la transferencia de conocimiento aplicada, promoviendo el uso estratégico de la información catastral para la toma de decisiones en el territorio.</w:t>
      </w:r>
    </w:p>
    <w:p w14:paraId="75D31AB3" w14:textId="083D3054" w:rsidR="0089295B" w:rsidRPr="00111DF0" w:rsidRDefault="0089295B">
      <w:pPr>
        <w:rPr>
          <w:lang w:val="es-ES"/>
        </w:rPr>
      </w:pPr>
    </w:p>
    <w:sectPr w:rsidR="0089295B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2E65CE"/>
    <w:rsid w:val="003056F1"/>
    <w:rsid w:val="003E024F"/>
    <w:rsid w:val="006B1E5D"/>
    <w:rsid w:val="007168B7"/>
    <w:rsid w:val="007B176D"/>
    <w:rsid w:val="00880880"/>
    <w:rsid w:val="0089295B"/>
    <w:rsid w:val="008E028C"/>
    <w:rsid w:val="00B25D6B"/>
    <w:rsid w:val="00B457D8"/>
    <w:rsid w:val="00C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Andres Perez Castiblanco</cp:lastModifiedBy>
  <cp:revision>6</cp:revision>
  <cp:lastPrinted>2026-03-04T18:16:00Z</cp:lastPrinted>
  <dcterms:created xsi:type="dcterms:W3CDTF">2026-03-04T18:16:00Z</dcterms:created>
  <dcterms:modified xsi:type="dcterms:W3CDTF">2026-04-04T04:26:00Z</dcterms:modified>
</cp:coreProperties>
</file>