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9FF9" w14:textId="77C753AD" w:rsidR="007A53EE" w:rsidRPr="007A53EE" w:rsidRDefault="008E028C" w:rsidP="007A53EE">
      <w:pPr>
        <w:jc w:val="both"/>
        <w:rPr>
          <w:lang w:val="es-ES"/>
        </w:rPr>
      </w:pPr>
      <w:r w:rsidRPr="008E028C">
        <w:rPr>
          <w:lang w:val="es-ES"/>
        </w:rPr>
        <w:t>Se</w:t>
      </w:r>
      <w:r w:rsidR="007A53EE" w:rsidRPr="007A53EE">
        <w:rPr>
          <w:lang w:val="es-ES"/>
        </w:rPr>
        <w:t xml:space="preserve"> implementó una herramienta en </w:t>
      </w:r>
      <w:proofErr w:type="spellStart"/>
      <w:r w:rsidR="007A53EE" w:rsidRPr="007A53EE">
        <w:rPr>
          <w:lang w:val="es-ES"/>
        </w:rPr>
        <w:t>Power</w:t>
      </w:r>
      <w:proofErr w:type="spellEnd"/>
      <w:r w:rsidR="007A53EE" w:rsidRPr="007A53EE">
        <w:rPr>
          <w:lang w:val="es-ES"/>
        </w:rPr>
        <w:t xml:space="preserve"> Apps orientada a la captura, gestión y actualización de la información asociada a los instrumentos de planeación institucional, incluyendo el PINAR, Plan Anual de Vacantes, Previsión de RRHH, Talento Humano, PIC, Bienestar e Incentivos, SST, PAAC, PETI, Plan de Tratamiento de Riesgos, Seguridad y Privacidad de la Información y la Estrategia de Racionalización de Trámites. La solución fue estructurada bajo criterios de estandarización de datos, validación de campos y trazabilidad, facilitando el registro sistemático de avances y el seguimiento periódico de cada plan.</w:t>
      </w:r>
    </w:p>
    <w:p w14:paraId="1621B40E" w14:textId="60397202" w:rsidR="007A53EE" w:rsidRPr="007A53EE" w:rsidRDefault="007A53EE" w:rsidP="007A53EE">
      <w:pPr>
        <w:jc w:val="both"/>
        <w:rPr>
          <w:lang w:val="es-ES"/>
        </w:rPr>
      </w:pPr>
      <w:r w:rsidRPr="007A53EE">
        <w:rPr>
          <w:lang w:val="es-ES"/>
        </w:rPr>
        <w:drawing>
          <wp:inline distT="0" distB="0" distL="0" distR="0" wp14:anchorId="16D78FAB" wp14:editId="7FDA2470">
            <wp:extent cx="5943600" cy="3375660"/>
            <wp:effectExtent l="0" t="0" r="0" b="2540"/>
            <wp:docPr id="79415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53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DECC" w14:textId="26053117" w:rsidR="007A53EE" w:rsidRDefault="007A53EE" w:rsidP="007A53EE">
      <w:pPr>
        <w:jc w:val="both"/>
        <w:rPr>
          <w:lang w:val="es-ES"/>
        </w:rPr>
      </w:pPr>
      <w:r w:rsidRPr="007A53EE">
        <w:rPr>
          <w:lang w:val="es-ES"/>
        </w:rPr>
        <w:t>Como resultado, se fortalecieron los mecanismos de monitoreo y control de la gestión institucional, permitiendo la consolidación de información en tiempo real para la generación de análisis, reportes e insumos técnicos en el marco del MIPG y el PEI. Esta implementación contribuye a optimizar la toma de decisiones, mejorar la articulación entre dependencias y asegurar la disponibilidad de información confiable para el seguimiento de planes, programas y proyectos institucionales.</w:t>
      </w:r>
    </w:p>
    <w:p w14:paraId="75D31AB3" w14:textId="083D3054" w:rsidR="0089295B" w:rsidRPr="00111DF0" w:rsidRDefault="0089295B">
      <w:pPr>
        <w:rPr>
          <w:lang w:val="es-ES"/>
        </w:rPr>
      </w:pP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6B1E5D"/>
    <w:rsid w:val="007168B7"/>
    <w:rsid w:val="007A53EE"/>
    <w:rsid w:val="007B176D"/>
    <w:rsid w:val="00880880"/>
    <w:rsid w:val="0089295B"/>
    <w:rsid w:val="008E028C"/>
    <w:rsid w:val="00B25D6B"/>
    <w:rsid w:val="00B457D8"/>
    <w:rsid w:val="00C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Andres Perez Castiblanco</cp:lastModifiedBy>
  <cp:revision>6</cp:revision>
  <cp:lastPrinted>2026-03-04T18:16:00Z</cp:lastPrinted>
  <dcterms:created xsi:type="dcterms:W3CDTF">2026-03-04T18:16:00Z</dcterms:created>
  <dcterms:modified xsi:type="dcterms:W3CDTF">2026-04-04T04:47:00Z</dcterms:modified>
</cp:coreProperties>
</file>