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Why Textbooks Matter for Children's Learning Speed</w:t>
      </w:r>
    </w:p>
    <w:p>
      <w:pPr>
        <w:spacing w:after="60"/>
      </w:pPr>
      <w:r>
        <w:rPr>
          <w:i/>
          <w:iCs/>
          <w:color w:val="555555"/>
          <w:sz w:val="24"/>
          <w:szCs w:val="24"/>
        </w:rPr>
        <w:t xml:space="preserve">A research overview: access, structure, cognitive load, and cumulative knowledge</w:t>
      </w:r>
    </w:p>
    <w:p>
      <w:pPr>
        <w:spacing w:after="300"/>
      </w:pPr>
      <w:r>
        <w:rPr>
          <w:color w:val="888888"/>
          <w:sz w:val="20"/>
          <w:szCs w:val="20"/>
        </w:rPr>
        <w:t xml:space="preserve">Prepared September 2026</w:t>
      </w:r>
    </w:p>
    <w:p>
      <w:pPr>
        <w:pStyle w:val="Heading1"/>
        <w:spacing w:after="160" w:before="360"/>
      </w:pPr>
      <w:r>
        <w:t xml:space="preserve">1. Framing the question</w:t>
      </w:r>
    </w:p>
    <w:p>
      <w:pPr>
        <w:spacing w:after="180" w:line="288"/>
        <w:jc w:val="both"/>
      </w:pPr>
      <w:r>
        <w:t xml:space="preserve">"Learning speed" can mean several different things, and the research literature actually maps cleanly onto them. It can mean how quickly a child reaches mastery of a specific skill (multiplication facts, decoding words). It can mean how quickly a child comprehends a brand-new text, which turns out to depend heavily on what the child already knows. Or it can mean the literal speed of a cognitive process, such as reading fluency measured in words per minute. Textbooks and structured learning materials turn out to affect all three, but through different mechanisms, which is why the evidence is scattered across several distinct research traditions: development economics, curriculum studies, cognitive psychology, and reading science.</w:t>
      </w:r>
    </w:p>
    <w:p>
      <w:pPr>
        <w:spacing w:after="180" w:line="288"/>
        <w:jc w:val="both"/>
      </w:pPr>
      <w:r>
        <w:t xml:space="preserve">This report pulls those traditions together into a single account of why well-designed textbooks and structured materials speed up children's learning, where the evidence is strong, and where it is genuinely mixed or contested.</w:t>
      </w:r>
    </w:p>
    <w:p>
      <w:pPr>
        <w:pStyle w:val="Heading1"/>
        <w:spacing w:after="160" w:before="360"/>
      </w:pPr>
      <w:r>
        <w:t xml:space="preserve">2. Access is the floor: you cannot learn quickly from a book you don't have</w:t>
      </w:r>
    </w:p>
    <w:p>
      <w:pPr>
        <w:spacing w:after="180" w:line="288"/>
        <w:jc w:val="both"/>
      </w:pPr>
      <w:r>
        <w:t xml:space="preserve">The most basic finding, and the one with the clearest real-world stakes, comes from large-scale assessments in low- and middle-income countries. Regional learning assessments across sub-Saharan Africa (PASEC and SACMEQ) show that simply owning a textbook is associated with literacy score gains of up to about 20 percent, and the World Bank has argued that chronic textbook shortages are one of the most cost-effective problems to fix in order to raise education quality in the region. A broader statistical review of school-resource studies (compiled for the NBER) similarly found that of the estimates linking textbooks and workbooks to learning, none were negative and roughly half were significantly positive, a notably more consistent pattern than for other school inputs like spending or class size.</w:t>
      </w:r>
    </w:p>
    <w:p>
      <w:pPr>
        <w:spacing w:after="180" w:line="288"/>
        <w:jc w:val="both"/>
      </w:pPr>
      <w:r>
        <w:t xml:space="preserve">But access is necessary, not sufficient, and one of the more sobering studies in this literature makes that point directly. A randomized program that distributed government textbooks to primary schools in Sierra Leone found no impact on student performance, because a large share of the books were kept in storage by school administrators rather than distributed to students. The lesson researchers drew was that unpredictable, one-off supply chains cause schools to hoard inputs rather than use them. Cote d'Ivoire's more recent experience, where sustained investment got textbooks into the hands of nearly all early-grade children within five years, is often cited as the counter-example: it shows the shortage is solvable, but also that books alone will not transform learning without reliable delivery and classroom use.</w:t>
      </w:r>
    </w:p>
    <w:p>
      <w:pPr>
        <w:pStyle w:val="Heading1"/>
        <w:spacing w:after="160" w:before="360"/>
      </w:pPr>
      <w:r>
        <w:t xml:space="preserve">3. Structure and sequencing: not all textbooks are equal</w:t>
      </w:r>
    </w:p>
    <w:p>
      <w:pPr>
        <w:spacing w:after="180" w:line="288"/>
        <w:jc w:val="both"/>
      </w:pPr>
      <w:r>
        <w:t xml:space="preserve">Once a book is in a child's hands, which book it is starts to matter. A longitudinal study of primary-school mathematics in the Netherlands tracked students across several years under four different textbooks that all taught the same official curriculum, and found that textbook choice had a substantial, cumulative effect on arithmetic achievement, one that grew larger the longer students used a given book. That is direct evidence that sequencing and design choices inside a textbook, not just its existence, shape how fast children progress.</w:t>
      </w:r>
    </w:p>
    <w:p>
      <w:pPr>
        <w:spacing w:after="180" w:line="288"/>
        <w:jc w:val="both"/>
      </w:pPr>
      <w:r>
        <w:t xml:space="preserve">At the same time, a widely cited synthesis of textbook-comparison studies by education researcher Robert Slavin found that, on average, swapping one reasonably well-designed textbook for another produces only a small effect on achievement (an average effect size around +0.04, essentially negligible). Slavin's conclusion was not that materials are irrelevant, but that day-to-day teaching practices and how materials are used tend to matter more than which specific commercially available textbook a school adopts.</w:t>
      </w:r>
    </w:p>
    <w:p>
      <w:pPr>
        <w:spacing w:after="180" w:line="288"/>
        <w:jc w:val="both"/>
      </w:pPr>
      <w:r>
        <w:t xml:space="preserve">The strongest evidence that structure itself drives speed of learning comes from Project Follow Through, the largest educational experiment ever conducted in the United States (over 8,000 disadvantaged children across 20 communities, evaluated over multiple years). Of the nine competing instructional models tested, only one, Direct Instruction, a highly explicit, tightly sequenced, scripted program with immediate feedback, produced positive effects across basic skills, cognitive/problem-solving measures, and even children's self-confidence. Open, child-directed, and discovery-based models, despite being designed to build deeper thinking, tended to produce worse outcomes on basic skills than no special intervention at all. Later meta-analytic work (John Hattie's synthesis of over 300 studies and 42,000 students) found Direct Instruction's average effect size, around 0.59, larger than almost any other instructional approach studied. This result is essentially a natural experiment in what a maximally structured, textbook-like set of materials can do for learning speed versus looser alternatives.</w:t>
      </w:r>
    </w:p>
    <w:p>
      <w:pPr>
        <w:pStyle w:val="Heading1"/>
        <w:spacing w:after="160" w:before="360"/>
      </w:pPr>
      <w:r>
        <w:t xml:space="preserve">4. Why structure speeds learning: the cognitive-load mechanism</w:t>
      </w:r>
    </w:p>
    <w:p>
      <w:pPr>
        <w:spacing w:after="180" w:line="288"/>
        <w:jc w:val="both"/>
      </w:pPr>
      <w:r>
        <w:t xml:space="preserve">Cognitive Load Theory, developed by John Sweller and colleagues, supplies the psychological explanation for the Direct Instruction result. Working memory, the mental workspace used to process new information, has very limited capacity. When novice learners are asked to solve a problem with little guidance, they burn that limited capacity on trial-and-error search rather than on building a durable mental model (a 'schema') of the underlying method. The result, replicated across mathematics, science, programming, and other domains, is the worked-example effect: novices who study fully worked-out solutions before attempting problems themselves learn the underlying method faster and retain it better than novices left to discover the method on their own.</w:t>
      </w:r>
    </w:p>
    <w:p>
      <w:pPr>
        <w:spacing w:after="180" w:line="288"/>
        <w:jc w:val="both"/>
      </w:pPr>
      <w:r>
        <w:t xml:space="preserve">This is precisely what a good textbook does structurally: it introduces new material in small, ordered steps, provides worked examples before independent practice, and avoids design choices (like forcing students to flip between separate pages to combine text and diagrams) that create unnecessary 'extraneous' load. Notably, the benefit is front-loaded. Sweller's colleagues also describe an expertise-reversal effect: heavy scaffolding that speeds up a beginner can slow down or even mildly hinder someone who has already built expertise, because processing redundant guidance now costs more than it saves. A well-designed textbook is therefore expected to fade its scaffolding as a child's competence grows, rather than keep every topic maximally explicit forever.</w:t>
      </w:r>
    </w:p>
    <w:p>
      <w:pPr>
        <w:pStyle w:val="Heading1"/>
        <w:spacing w:after="160" w:before="360"/>
      </w:pPr>
      <w:r>
        <w:t xml:space="preserve">5. Compounding knowledge: the slow-growing case for coherent textbooks</w:t>
      </w:r>
    </w:p>
    <w:p>
      <w:pPr>
        <w:spacing w:after="180" w:line="288"/>
        <w:jc w:val="both"/>
      </w:pPr>
      <w:r>
        <w:t xml:space="preserve">A separate line of research, associated with E. D. Hirsch and cognitive scientist Daniel Willingham, argues that reading comprehension is not a generic, transferable skill like riding a bicycle. It depends heavily on how much relevant background knowledge a reader already has about the topic of a given text. Two children with identical decoding ability can comprehend the same new passage at very different speeds and depths purely because one of them already has more relevant vocabulary and world knowledge to draw on.</w:t>
      </w:r>
    </w:p>
    <w:p>
      <w:pPr>
        <w:spacing w:after="180" w:line="288"/>
        <w:jc w:val="both"/>
      </w:pPr>
      <w:r>
        <w:t xml:space="preserve">The practical implication is that a curriculum (and the textbooks that carry it) which systematically builds general knowledge, grade by grade, in a coherent sequence should make children faster comprehenders of every subsequent text they encounter, because they arrive at each new passage already knowing more of what the writer takes for granted. A long-term study led by University of Virginia researchers on the Core Knowledge Sequence, a content-rich, deliberately sequenced pre-K to grade 8 curriculum, found unusually large, durable gains in reading achievement for schools that used it. Consistent with the theory, the benefits were described as emerging slowly and compounding over years rather than appearing immediately, since general comprehension ability is itself described as a 'slow-growing plant.' This is arguably the clearest case of a textbook-driven effect on long-run learning speed: not making any single lesson faster, but making every future lesson faster because less new background knowledge has to be reconstructed on the fly.</w:t>
      </w:r>
    </w:p>
    <w:p>
      <w:pPr>
        <w:pStyle w:val="Heading1"/>
        <w:spacing w:after="160" w:before="360"/>
      </w:pPr>
      <w:r>
        <w:t xml:space="preserve">6. Reading acquisition: where "learning speed" becomes literal</w:t>
      </w:r>
    </w:p>
    <w:p>
      <w:pPr>
        <w:spacing w:after="180" w:line="288"/>
        <w:jc w:val="both"/>
      </w:pPr>
      <w:r>
        <w:t xml:space="preserve">In early literacy, speed is not just a metaphor. Reading fluency is formally defined as the speed and accuracy of decoding connected text, and it is what allows word recognition to become automatic, freeing working memory for comprehension rather than word-by-word decoding. Systematic, sequenced phonics instruction, paired with decodable texts (books whose vocabulary is deliberately controlled to match the sound-letter patterns a child has already been taught) is the primary mechanism reading science identifies for building that automaticity.</w:t>
      </w:r>
    </w:p>
    <w:p>
      <w:pPr>
        <w:spacing w:after="180" w:line="288"/>
        <w:jc w:val="both"/>
      </w:pPr>
      <w:r>
        <w:t xml:space="preserve">The evidence here should be stated carefully rather than overstated. Meta-analyses, including the U.S. National Reading Panel review and later re-analyses, consistently find that systematic phonics produces reliable, moderate gains in word-reading accuracy and decoding, with smaller and more debated effects on fluency and comprehension, and some reviews note that short-term gains are not always maintained after several months without continued support. The honest summary is that structured, decodable textbook-style materials measurably speed up the mechanics of early reading (accurate, automatic word recognition), while comprehension gains depend more on the background-knowledge factors discussed above.</w:t>
      </w:r>
    </w:p>
    <w:p>
      <w:pPr>
        <w:pStyle w:val="Heading1"/>
        <w:spacing w:after="160" w:before="360"/>
      </w:pPr>
      <w:r>
        <w:t xml:space="preserve">7. Format matters too: print, screen, and open textbooks</w:t>
      </w:r>
    </w:p>
    <w:p>
      <w:pPr>
        <w:spacing w:after="180" w:line="288"/>
        <w:jc w:val="both"/>
      </w:pPr>
      <w:r>
        <w:t xml:space="preserve">Because so much of children's textbook time is now shifting to digital formats, it's worth noting what the evidence says about the container, not just the content. A meta-analysis of 39 studies (1,812 children) found that digital books that were simple digitizations of print, with no other changes, produced lower story comprehension than the print originals; enhancements had to be closely tied to the story's content to help rather than to distract. Separately, a widely cited meta-analysis of 54 studies covering roughly 170,000 participants found that paper reading outperforms screen reading for expository (informational) comprehension, that the gap does not shrink for children who have grown up with screens, and that it widens under time pressure, though narrative fiction shows little or no such penalty. Researchers connect this to cognitive load theory as well: scrolling, smaller viewing windows, and split attention across a screen interface appear to add exactly the kind of extraneous processing burden that slows comprehension down.</w:t>
      </w:r>
    </w:p>
    <w:p>
      <w:pPr>
        <w:spacing w:after="180" w:line="288"/>
        <w:jc w:val="both"/>
      </w:pPr>
      <w:r>
        <w:t xml:space="preserve">On a related note, cost need not be the deciding factor in textbook quality. A controlled comparison of free, openly licensed textbooks against commercial ones found no significant difference in student learning outcomes between the two; where differences did appear, they were in student-rated engagement and clarity of writing, both of which correlated with performance, suggesting again that clear, well-structured writing (not the price tag or publisher) is the operative variable.</w:t>
      </w:r>
    </w:p>
    <w:p>
      <w:pPr>
        <w:pStyle w:val="Heading1"/>
        <w:spacing w:after="160" w:before="360"/>
      </w:pPr>
      <w:r>
        <w:t xml:space="preserve">8. Caveats: textbooks are a lever, not a guarantee</w:t>
      </w:r>
    </w:p>
    <w:p>
      <w:pPr>
        <w:spacing w:after="180" w:line="288"/>
        <w:jc w:val="both"/>
      </w:pPr>
      <w:r>
        <w:t xml:space="preserve">Taken together, the evidence supports a real but bounded claim. A few important qualifications keep this claim honest:</w:t>
      </w:r>
    </w:p>
    <w:p>
      <w:pPr>
        <w:pStyle w:val="ListParagraph"/>
        <w:numPr>
          <w:ilvl w:val="0"/>
          <w:numId w:val="2"/>
        </w:numPr>
        <w:spacing w:after="100" w:line="276"/>
      </w:pPr>
      <w:r>
        <w:t xml:space="preserve">Distribution and use matter as much as procurement. Textbooks that sit in storerooms, as in the Sierra Leone case, do nothing for learning speed regardless of quality.</w:t>
      </w:r>
    </w:p>
    <w:p>
      <w:pPr>
        <w:pStyle w:val="ListParagraph"/>
        <w:numPr>
          <w:ilvl w:val="0"/>
          <w:numId w:val="2"/>
        </w:numPr>
        <w:spacing w:after="100" w:line="276"/>
      </w:pPr>
      <w:r>
        <w:t xml:space="preserve">The size of the effect depends on what is being compared. Comparing 'a textbook' to 'no textbook' in low-resource settings shows large effects; comparing one commercially available textbook to another in well-resourced settings often shows small effects, because most approved textbooks already clear a basic quality bar.</w:t>
      </w:r>
    </w:p>
    <w:p>
      <w:pPr>
        <w:pStyle w:val="ListParagraph"/>
        <w:numPr>
          <w:ilvl w:val="0"/>
          <w:numId w:val="2"/>
        </w:numPr>
        <w:spacing w:after="100" w:line="276"/>
      </w:pPr>
      <w:r>
        <w:t xml:space="preserve">Teaching practice and structure of use can outweigh which book is chosen. The Project Follow Through results are best read as evidence for explicit, well-sequenced instruction broadly, of which a good textbook is one vehicle, not the only one.</w:t>
      </w:r>
    </w:p>
    <w:p>
      <w:pPr>
        <w:pStyle w:val="ListParagraph"/>
        <w:numPr>
          <w:ilvl w:val="0"/>
          <w:numId w:val="2"/>
        </w:numPr>
        <w:spacing w:after="100" w:line="276"/>
      </w:pPr>
      <w:r>
        <w:t xml:space="preserve">Effects on early-reading mechanics (accuracy, decoding, fluency) are more consistently documented than effects on comprehension, which depends on additional, slower-building factors like background knowledge.</w:t>
      </w:r>
    </w:p>
    <w:p>
      <w:pPr>
        <w:pStyle w:val="Heading1"/>
        <w:spacing w:after="160" w:before="360"/>
      </w:pPr>
      <w:r>
        <w:t xml:space="preserve">9. Synthesis: the mechanisms behind faster learning</w:t>
      </w:r>
    </w:p>
    <w:p>
      <w:pPr>
        <w:spacing w:after="180" w:line="288"/>
        <w:jc w:val="both"/>
      </w:pPr>
      <w:r>
        <w:t xml:space="preserve">Pulling the strands together, textbooks and structured learning materials appear to speed up children's learning through at least five distinct, evidence-backed mechanisms:</w:t>
      </w:r>
    </w:p>
    <w:p>
      <w:pPr>
        <w:pStyle w:val="ListParagraph"/>
        <w:numPr>
          <w:ilvl w:val="0"/>
          <w:numId w:val="2"/>
        </w:numPr>
        <w:spacing w:after="100" w:line="276"/>
      </w:pPr>
      <w:r>
        <w:t xml:space="preserve">Removing the access floor: a child without any text to work from cannot practice at all; even in well-resourced systems, absence of a usable resource is the single largest constraint.</w:t>
      </w:r>
    </w:p>
    <w:p>
      <w:pPr>
        <w:pStyle w:val="ListParagraph"/>
        <w:numPr>
          <w:ilvl w:val="0"/>
          <w:numId w:val="2"/>
        </w:numPr>
        <w:spacing w:after="100" w:line="276"/>
      </w:pPr>
      <w:r>
        <w:t xml:space="preserve">Controlling sequence and difficulty: well-ordered introduction of new material, matched to what a child already knows, keeps tasks inside a manageable zone of challenge rather than overwhelming or under-challenging them.</w:t>
      </w:r>
    </w:p>
    <w:p>
      <w:pPr>
        <w:pStyle w:val="ListParagraph"/>
        <w:numPr>
          <w:ilvl w:val="0"/>
          <w:numId w:val="2"/>
        </w:numPr>
        <w:spacing w:after="100" w:line="276"/>
      </w:pPr>
      <w:r>
        <w:t xml:space="preserve">Reducing cognitive load through worked examples: showing novices a fully explained solution before independent practice cuts the time spent on unproductive trial-and-error, a robustly replicated finding across subjects.</w:t>
      </w:r>
    </w:p>
    <w:p>
      <w:pPr>
        <w:pStyle w:val="ListParagraph"/>
        <w:numPr>
          <w:ilvl w:val="0"/>
          <w:numId w:val="2"/>
        </w:numPr>
        <w:spacing w:after="100" w:line="276"/>
      </w:pPr>
      <w:r>
        <w:t xml:space="preserve">Building compounding background knowledge: a coherent, content-rich sequence across grades means every new text a child meets requires less on-the-fly background reconstruction, so comprehension speed rises over years, not just within a single lesson.</w:t>
      </w:r>
    </w:p>
    <w:p>
      <w:pPr>
        <w:pStyle w:val="ListParagraph"/>
        <w:numPr>
          <w:ilvl w:val="0"/>
          <w:numId w:val="2"/>
        </w:numPr>
        <w:spacing w:after="100" w:line="276"/>
      </w:pPr>
      <w:r>
        <w:t xml:space="preserve">Building automaticity through systematic practice: for early reading specifically, decodable, well-sequenced texts and phonics practice convert effortful decoding into fast, automatic word recognition, directly freeing capacity for comprehension.</w:t>
      </w:r>
    </w:p>
    <w:p>
      <w:pPr>
        <w:pStyle w:val="Heading1"/>
        <w:spacing w:after="160" w:before="360"/>
      </w:pPr>
      <w:r>
        <w:t xml:space="preserve">10. What this implies about a "good" textbook</w:t>
      </w:r>
    </w:p>
    <w:p>
      <w:pPr>
        <w:spacing w:after="180" w:line="288"/>
        <w:jc w:val="both"/>
      </w:pPr>
      <w:r>
        <w:t xml:space="preserve">If the goal is to actually accelerate learning rather than simply supply a book, the research points to a fairly specific checklist:</w:t>
      </w:r>
    </w:p>
    <w:p>
      <w:pPr>
        <w:pStyle w:val="ListParagraph"/>
        <w:numPr>
          <w:ilvl w:val="0"/>
          <w:numId w:val="2"/>
        </w:numPr>
        <w:spacing w:after="100" w:line="276"/>
      </w:pPr>
      <w:r>
        <w:t xml:space="preserve">A clear, logical progression of topics that builds on what came before, rather than a loosely ordered grab-bag of content.</w:t>
      </w:r>
    </w:p>
    <w:p>
      <w:pPr>
        <w:pStyle w:val="ListParagraph"/>
        <w:numPr>
          <w:ilvl w:val="0"/>
          <w:numId w:val="2"/>
        </w:numPr>
        <w:spacing w:after="100" w:line="276"/>
      </w:pPr>
      <w:r>
        <w:t xml:space="preserve">Worked examples and explicit explanation for genuinely new material, with scaffolding that fades as competence grows.</w:t>
      </w:r>
    </w:p>
    <w:p>
      <w:pPr>
        <w:pStyle w:val="ListParagraph"/>
        <w:numPr>
          <w:ilvl w:val="0"/>
          <w:numId w:val="2"/>
        </w:numPr>
        <w:spacing w:after="100" w:line="276"/>
      </w:pPr>
      <w:r>
        <w:t xml:space="preserve">Deliberate, cumulative building of general knowledge and vocabulary across grades and subjects, not just isolated 'reading skill' exercises.</w:t>
      </w:r>
    </w:p>
    <w:p>
      <w:pPr>
        <w:pStyle w:val="ListParagraph"/>
        <w:numPr>
          <w:ilvl w:val="0"/>
          <w:numId w:val="2"/>
        </w:numPr>
        <w:spacing w:after="100" w:line="276"/>
      </w:pPr>
      <w:r>
        <w:t xml:space="preserve">For early readers, vocabulary and text difficulty matched to what has actually been taught (decodable texts), paired with repeated practice for fluency.</w:t>
      </w:r>
    </w:p>
    <w:p>
      <w:pPr>
        <w:pStyle w:val="ListParagraph"/>
        <w:numPr>
          <w:ilvl w:val="0"/>
          <w:numId w:val="2"/>
        </w:numPr>
        <w:spacing w:after="100" w:line="276"/>
      </w:pPr>
      <w:r>
        <w:t xml:space="preserve">Clean layout that keeps related text, diagrams, and labels physically together, avoiding the split-attention and redundancy problems that add unnecessary cognitive load.</w:t>
      </w:r>
    </w:p>
    <w:p>
      <w:pPr>
        <w:pStyle w:val="ListParagraph"/>
        <w:numPr>
          <w:ilvl w:val="0"/>
          <w:numId w:val="2"/>
        </w:numPr>
        <w:spacing w:after="100" w:line="276"/>
      </w:pPr>
      <w:r>
        <w:t xml:space="preserve">A reliable path from printing or licensing all the way into a child's hands, since even an excellent textbook that never reaches a desk has no effect on learning speed.</w:t>
      </w:r>
    </w:p>
    <w:p>
      <w:pPr>
        <w:pStyle w:val="ListParagraph"/>
        <w:numPr>
          <w:ilvl w:val="0"/>
          <w:numId w:val="2"/>
        </w:numPr>
        <w:spacing w:after="100" w:line="276"/>
      </w:pPr>
      <w:r>
        <w:t xml:space="preserve">If delivered digitally, design that mirrors good print design and adds only enhancements tightly linked to the content, rather than treating digitization alone as an improvement.</w:t>
      </w:r>
    </w:p>
    <w:p>
      <w:pPr>
        <w:pStyle w:val="Heading1"/>
        <w:spacing w:after="160" w:before="360"/>
      </w:pPr>
      <w:r>
        <w:t xml:space="preserve">Sources consulted</w:t>
      </w:r>
    </w:p>
    <w:p>
      <w:pPr>
        <w:spacing w:after="100" w:before="120"/>
      </w:pPr>
      <w:r>
        <w:rPr>
          <w:b/>
          <w:bCs/>
          <w:i/>
          <w:iCs/>
          <w:color w:val="444444"/>
          <w:sz w:val="22"/>
          <w:szCs w:val="22"/>
        </w:rPr>
        <w:t xml:space="preserve">Access and textbook supply</w:t>
      </w:r>
    </w:p>
    <w:p>
      <w:pPr>
        <w:spacing w:after="140" w:line="264"/>
        <w:ind w:left="431" w:hanging="431"/>
      </w:pPr>
      <w:r>
        <w:rPr>
          <w:sz w:val="20"/>
          <w:szCs w:val="20"/>
        </w:rPr>
        <w:t xml:space="preserve">World Bank / Global Education Evidence Advisory Panel and regional data (PASEC, SACMEQ), summarized in "Textbook availability gap in Africa: how we measure it matters," World Education Blog (2026).</w:t>
      </w:r>
    </w:p>
    <w:p>
      <w:pPr>
        <w:spacing w:after="140" w:line="264"/>
        <w:ind w:left="431" w:hanging="431"/>
      </w:pPr>
      <w:r>
        <w:rPr>
          <w:sz w:val="20"/>
          <w:szCs w:val="20"/>
        </w:rPr>
        <w:t xml:space="preserve">Sabarwal, S., Evans, D. K., &amp; Marshak, A. (2014). The Permanent Input Hypothesis: The Case of Textbooks and (No) Student Learning in Sierra Leone. World Bank Group.</w:t>
      </w:r>
    </w:p>
    <w:p>
      <w:pPr>
        <w:spacing w:after="140" w:line="264"/>
        <w:ind w:left="431" w:hanging="431"/>
      </w:pPr>
      <w:r>
        <w:rPr>
          <w:sz w:val="20"/>
          <w:szCs w:val="20"/>
        </w:rPr>
        <w:t xml:space="preserve">Glewwe, P., Hanushek, E., Humpage, S., &amp; Ravina, R. (2011). School Resources and Educational Outcomes in Developing Countries. NBER Working Paper 17554.</w:t>
      </w:r>
    </w:p>
    <w:p>
      <w:pPr>
        <w:spacing w:after="140" w:line="264"/>
        <w:ind w:left="431" w:hanging="431"/>
      </w:pPr>
      <w:r>
        <w:rPr>
          <w:sz w:val="20"/>
          <w:szCs w:val="20"/>
        </w:rPr>
        <w:t xml:space="preserve">World Bank (2018, 2022, 2025). World Development Report on education and Foundational Learning briefs.</w:t>
      </w:r>
    </w:p>
    <w:p>
      <w:pPr>
        <w:spacing w:after="100" w:before="120"/>
      </w:pPr>
      <w:r>
        <w:rPr>
          <w:b/>
          <w:bCs/>
          <w:i/>
          <w:iCs/>
          <w:color w:val="444444"/>
          <w:sz w:val="22"/>
          <w:szCs w:val="22"/>
        </w:rPr>
        <w:t xml:space="preserve">Textbook structure, choice, and instructional design</w:t>
      </w:r>
    </w:p>
    <w:p>
      <w:pPr>
        <w:spacing w:after="140" w:line="264"/>
        <w:ind w:left="431" w:hanging="431"/>
      </w:pPr>
      <w:r>
        <w:rPr>
          <w:sz w:val="20"/>
          <w:szCs w:val="20"/>
        </w:rPr>
        <w:t xml:space="preserve">Van Steenbrugge, H., et al. Does the textbook matter? Longitudinal effects of textbook choice on primary school students' achievement in mathematics. International Journal of Educational Research (ScienceDirect).</w:t>
      </w:r>
    </w:p>
    <w:p>
      <w:pPr>
        <w:spacing w:after="140" w:line="264"/>
        <w:ind w:left="431" w:hanging="431"/>
      </w:pPr>
      <w:r>
        <w:rPr>
          <w:sz w:val="20"/>
          <w:szCs w:val="20"/>
        </w:rPr>
        <w:t xml:space="preserve">Slavin, R. (2019). Do Different Textbooks Have Different Effects on Student Achievement? (blog synthesis of textbook-comparison research).</w:t>
      </w:r>
    </w:p>
    <w:p>
      <w:pPr>
        <w:spacing w:after="140" w:line="264"/>
        <w:ind w:left="431" w:hanging="431"/>
      </w:pPr>
      <w:r>
        <w:rPr>
          <w:sz w:val="20"/>
          <w:szCs w:val="20"/>
        </w:rPr>
        <w:t xml:space="preserve">Project Follow Through evaluation, Abt Associates (1977); Bereiter &amp; Kurland reanalysis; Hattie synthesis of Direct Instruction studies, as summarized in multiple secondary sources including Wikipedia's "Direct instruction" entry and the Education Consumers Foundation.</w:t>
      </w:r>
    </w:p>
    <w:p>
      <w:pPr>
        <w:spacing w:after="140" w:line="264"/>
        <w:ind w:left="431" w:hanging="431"/>
      </w:pPr>
      <w:r>
        <w:rPr>
          <w:sz w:val="20"/>
          <w:szCs w:val="20"/>
        </w:rPr>
        <w:t xml:space="preserve">Robinson, J., et al. (2019, Frontiers in Education). Comparison of commercial and open textbook effects on student learning.</w:t>
      </w:r>
    </w:p>
    <w:p>
      <w:pPr>
        <w:spacing w:after="100" w:before="120"/>
      </w:pPr>
      <w:r>
        <w:rPr>
          <w:b/>
          <w:bCs/>
          <w:i/>
          <w:iCs/>
          <w:color w:val="444444"/>
          <w:sz w:val="22"/>
          <w:szCs w:val="22"/>
        </w:rPr>
        <w:t xml:space="preserve">Cognitive load theory</w:t>
      </w:r>
    </w:p>
    <w:p>
      <w:pPr>
        <w:spacing w:after="140" w:line="264"/>
        <w:ind w:left="431" w:hanging="431"/>
      </w:pPr>
      <w:r>
        <w:rPr>
          <w:sz w:val="20"/>
          <w:szCs w:val="20"/>
        </w:rPr>
        <w:t xml:space="preserve">Sweller, J., and colleagues; summarized in NSW Department of Education, Cognitive Load Theory: Research That Teachers Really Need to Understand (2017), and The Education Hub, An Introduction to Cognitive Load Theory.</w:t>
      </w:r>
    </w:p>
    <w:p>
      <w:pPr>
        <w:spacing w:after="100" w:before="120"/>
      </w:pPr>
      <w:r>
        <w:rPr>
          <w:b/>
          <w:bCs/>
          <w:i/>
          <w:iCs/>
          <w:color w:val="444444"/>
          <w:sz w:val="22"/>
          <w:szCs w:val="22"/>
        </w:rPr>
        <w:t xml:space="preserve">Background knowledge and reading comprehension</w:t>
      </w:r>
    </w:p>
    <w:p>
      <w:pPr>
        <w:spacing w:after="140" w:line="264"/>
        <w:ind w:left="431" w:hanging="431"/>
      </w:pPr>
      <w:r>
        <w:rPr>
          <w:sz w:val="20"/>
          <w:szCs w:val="20"/>
        </w:rPr>
        <w:t xml:space="preserve">Hirsch, E. D. Jr. Cultural Literacy / The Knowledge Deficit; summarized in Fordham Institute commentary, "The Knowledge Revival" and "At long last, E. D. Hirsch Jr. gets his due" (Core Knowledge Sequence study by Grissmer et al., University of Virginia).</w:t>
      </w:r>
    </w:p>
    <w:p>
      <w:pPr>
        <w:spacing w:after="140" w:line="264"/>
        <w:ind w:left="431" w:hanging="431"/>
      </w:pPr>
      <w:r>
        <w:rPr>
          <w:sz w:val="20"/>
          <w:szCs w:val="20"/>
        </w:rPr>
        <w:t xml:space="preserve">Elleman, A. M., &amp; Oslund, E. L. The Role of Background Knowledge in Reading Comprehension: A Critical Review. Reading Psychology.</w:t>
      </w:r>
    </w:p>
    <w:p>
      <w:pPr>
        <w:spacing w:after="100" w:before="120"/>
      </w:pPr>
      <w:r>
        <w:rPr>
          <w:b/>
          <w:bCs/>
          <w:i/>
          <w:iCs/>
          <w:color w:val="444444"/>
          <w:sz w:val="22"/>
          <w:szCs w:val="22"/>
        </w:rPr>
        <w:t xml:space="preserve">Phonics, decodable texts, and reading fluency</w:t>
      </w:r>
    </w:p>
    <w:p>
      <w:pPr>
        <w:spacing w:after="140" w:line="264"/>
        <w:ind w:left="431" w:hanging="431"/>
      </w:pPr>
      <w:r>
        <w:rPr>
          <w:sz w:val="20"/>
          <w:szCs w:val="20"/>
        </w:rPr>
        <w:t xml:space="preserve">National Reading Panel (2000). Report of the National Reading Panel, NICHD.</w:t>
      </w:r>
    </w:p>
    <w:p>
      <w:pPr>
        <w:spacing w:after="140" w:line="264"/>
        <w:ind w:left="431" w:hanging="431"/>
      </w:pPr>
      <w:r>
        <w:rPr>
          <w:sz w:val="20"/>
          <w:szCs w:val="20"/>
        </w:rPr>
        <w:t xml:space="preserve">Ehri, L. (2020) and related syntheses on systematic phonics and decodable texts, summarized in Kentucky Reading Research systematic review (2025) and related meta-analytic literature.</w:t>
      </w:r>
    </w:p>
    <w:p>
      <w:pPr>
        <w:spacing w:after="100" w:before="120"/>
      </w:pPr>
      <w:r>
        <w:rPr>
          <w:b/>
          <w:bCs/>
          <w:i/>
          <w:iCs/>
          <w:color w:val="444444"/>
          <w:sz w:val="22"/>
          <w:szCs w:val="22"/>
        </w:rPr>
        <w:t xml:space="preserve">Print vs. digital format</w:t>
      </w:r>
    </w:p>
    <w:p>
      <w:pPr>
        <w:spacing w:after="140" w:line="264"/>
        <w:ind w:left="431" w:hanging="431"/>
      </w:pPr>
      <w:r>
        <w:rPr>
          <w:sz w:val="20"/>
          <w:szCs w:val="20"/>
        </w:rPr>
        <w:t xml:space="preserve">Furenes, M. I., Kucirkova, N., &amp; Bus, A. G. (2021). A Comparison of Children's Reading on Paper Versus Screen: A Meta-Analysis. Review of Educational Research, 91(4), 483-517.</w:t>
      </w:r>
    </w:p>
    <w:p>
      <w:pPr>
        <w:spacing w:after="140" w:line="264"/>
        <w:ind w:left="431" w:hanging="431"/>
      </w:pPr>
      <w:r>
        <w:rPr>
          <w:sz w:val="20"/>
          <w:szCs w:val="20"/>
        </w:rPr>
        <w:t xml:space="preserve">Delgado, P., Vargas, C., Ackerman, R., &amp; Salmeron, L. (2018). Don't throw away your printed books: A meta-analysis on the effects of reading media on reading comprehension. Educational Research Review.</w:t>
      </w:r>
    </w:p>
    <w:p>
      <w:pPr>
        <w:spacing w:after="140" w:line="264"/>
        <w:ind w:left="431" w:hanging="431"/>
      </w:pPr>
      <w:r>
        <w:rPr>
          <w:sz w:val="20"/>
          <w:szCs w:val="20"/>
        </w:rPr>
        <w:t xml:space="preserve">Halamish, V., &amp; Elbaz, E. (2020). Children's reading comprehension and metacomprehension on screen versus on paper.</w:t>
      </w:r>
    </w:p>
    <w:p>
      <w:pPr>
        <w:spacing w:before="240"/>
      </w:pPr>
      <w:r>
        <w:rPr>
          <w:i/>
          <w:iCs/>
          <w:color w:val="888888"/>
          <w:sz w:val="18"/>
          <w:szCs w:val="18"/>
        </w:rPr>
        <w:t xml:space="preserve">Note: this report synthesizes findings from publicly available research summaries and secondary sources located via web search; where a study's precise effect size or sample is quoted, it is drawn from the abstract or summary text of that source rather than the full original article.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2026-09-27T07:48:13.714Z</dcterms:created>
  <dcterms:modified xsi:type="dcterms:W3CDTF">2026-09-27T07:48:13.724Z</dcterms:modified>
</cp:coreProperties>
</file>

<file path=docProps/custom.xml><?xml version="1.0" encoding="utf-8"?>
<Properties xmlns="http://schemas.openxmlformats.org/officeDocument/2006/custom-properties" xmlns:vt="http://schemas.openxmlformats.org/officeDocument/2006/docPropsVTypes"/>
</file>