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C6930" w14:textId="3B71C721" w:rsidR="00A92173" w:rsidRPr="00EF27E3" w:rsidRDefault="00A92173" w:rsidP="00EA19A4">
      <w:pPr>
        <w:spacing w:after="0" w:line="276" w:lineRule="auto"/>
        <w:jc w:val="center"/>
        <w:rPr>
          <w:rFonts w:ascii="Arial" w:hAnsi="Arial" w:cs="Arial"/>
          <w:b/>
          <w:bCs/>
        </w:rPr>
      </w:pPr>
      <w:r w:rsidRPr="00EF27E3">
        <w:rPr>
          <w:rFonts w:ascii="Arial" w:hAnsi="Arial" w:cs="Arial"/>
          <w:b/>
          <w:bCs/>
        </w:rPr>
        <w:t>Lección de pautas de vigilancia médica</w:t>
      </w:r>
    </w:p>
    <w:p w14:paraId="16F11FE5" w14:textId="77777777" w:rsidR="00EA19A4" w:rsidRPr="00EF27E3" w:rsidRDefault="00EA19A4" w:rsidP="00EA19A4">
      <w:pPr>
        <w:spacing w:after="0" w:line="276" w:lineRule="auto"/>
        <w:jc w:val="center"/>
        <w:rPr>
          <w:rFonts w:ascii="Arial" w:hAnsi="Arial" w:cs="Arial"/>
          <w:b/>
          <w:bCs/>
        </w:rPr>
      </w:pPr>
    </w:p>
    <w:p w14:paraId="28AAAD67" w14:textId="77777777" w:rsidR="00A92173" w:rsidRPr="00EF27E3" w:rsidRDefault="00A92173" w:rsidP="00EA19A4">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Política</w:t>
      </w:r>
    </w:p>
    <w:p w14:paraId="36CB184B" w14:textId="77777777" w:rsidR="00A92173" w:rsidRPr="00EF27E3" w:rsidRDefault="00A92173" w:rsidP="00EA19A4">
      <w:pPr>
        <w:numPr>
          <w:ilvl w:val="1"/>
          <w:numId w:val="1"/>
        </w:numPr>
        <w:shd w:val="clear" w:color="auto" w:fill="FFFFFF"/>
        <w:spacing w:after="0" w:line="276" w:lineRule="auto"/>
        <w:ind w:left="810" w:hanging="540"/>
        <w:jc w:val="both"/>
        <w:rPr>
          <w:rFonts w:ascii="Arial" w:hAnsi="Arial" w:cs="Arial"/>
          <w:sz w:val="20"/>
          <w:szCs w:val="20"/>
        </w:rPr>
      </w:pPr>
      <w:r w:rsidRPr="00EF27E3">
        <w:rPr>
          <w:rFonts w:ascii="Arial" w:hAnsi="Arial" w:cs="Arial"/>
          <w:sz w:val="20"/>
          <w:szCs w:val="20"/>
          <w:shd w:val="clear" w:color="auto" w:fill="FFFFFF"/>
        </w:rPr>
        <w:t>La gerencia proporciona a los PLHCP información médica y recomendaciones para ayudarlos a cumplir con las disposiciones de vigilancia médica del estándar de sílice cristalina respirable.</w:t>
      </w:r>
    </w:p>
    <w:p w14:paraId="286FC0DA" w14:textId="77777777" w:rsidR="00A92173" w:rsidRPr="00EF27E3" w:rsidRDefault="00A92173" w:rsidP="00EA19A4">
      <w:pPr>
        <w:numPr>
          <w:ilvl w:val="1"/>
          <w:numId w:val="1"/>
        </w:numPr>
        <w:shd w:val="clear" w:color="auto" w:fill="FFFFFF"/>
        <w:spacing w:after="0" w:line="276" w:lineRule="auto"/>
        <w:ind w:left="810" w:hanging="540"/>
        <w:jc w:val="both"/>
        <w:rPr>
          <w:rFonts w:ascii="Arial" w:hAnsi="Arial" w:cs="Arial"/>
          <w:sz w:val="20"/>
          <w:szCs w:val="20"/>
        </w:rPr>
      </w:pPr>
      <w:r w:rsidRPr="00EF27E3">
        <w:rPr>
          <w:rFonts w:ascii="Arial" w:hAnsi="Arial" w:cs="Arial"/>
          <w:sz w:val="20"/>
          <w:szCs w:val="20"/>
        </w:rPr>
        <w:t>Se implementan exámenes y vigilancia médica para permitir la detección temprana de efectos en la salud relacionados con la exposición en empleados individuales y grupos de empleados, lo que permite tomar medidas para evitar una mayor exposición y prevenir o abordar los resultados adversos para la salud.</w:t>
      </w:r>
    </w:p>
    <w:p w14:paraId="6246293C" w14:textId="77777777" w:rsidR="00A92173" w:rsidRPr="00EF27E3" w:rsidRDefault="00A92173" w:rsidP="00A92173">
      <w:pPr>
        <w:shd w:val="clear" w:color="auto" w:fill="FFFFFF"/>
        <w:spacing w:after="0" w:line="276" w:lineRule="auto"/>
        <w:ind w:left="702"/>
        <w:jc w:val="both"/>
        <w:rPr>
          <w:rFonts w:ascii="Arial" w:hAnsi="Arial" w:cs="Arial"/>
          <w:sz w:val="20"/>
          <w:szCs w:val="20"/>
        </w:rPr>
      </w:pPr>
    </w:p>
    <w:p w14:paraId="38A8CBEC" w14:textId="77777777" w:rsidR="00A92173" w:rsidRPr="00EF27E3" w:rsidRDefault="00A92173" w:rsidP="00A92173">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Procedimiento</w:t>
      </w:r>
    </w:p>
    <w:p w14:paraId="3EA3F081" w14:textId="77777777" w:rsidR="00A92173" w:rsidRPr="00EF27E3" w:rsidRDefault="00A92173" w:rsidP="00EA19A4">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Enfermedades relacionadas con la sílice</w:t>
      </w:r>
    </w:p>
    <w:p w14:paraId="324E618D" w14:textId="77777777" w:rsidR="00A92173" w:rsidRPr="00EF27E3" w:rsidRDefault="00A92173" w:rsidP="00EA19A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La silicosis crónica es la forma más común de silicosis, que generalmente se manifiesta después de al menos diez años de exposición a la sílice cristalina respirable.</w:t>
      </w:r>
    </w:p>
    <w:p w14:paraId="04012C27"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w:t>
      </w:r>
    </w:p>
    <w:p w14:paraId="3C07840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Dificultad para respirar y tos</w:t>
      </w:r>
    </w:p>
    <w:p w14:paraId="07619CD3"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 constitucionales</w:t>
      </w:r>
    </w:p>
    <w:p w14:paraId="46CA03AC" w14:textId="6BCC2D79" w:rsidR="00A92173" w:rsidRPr="00EF27E3" w:rsidRDefault="00A92173" w:rsidP="00EA19A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Fiebre</w:t>
      </w:r>
    </w:p>
    <w:p w14:paraId="4EFBC017"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Pérdida de apetito</w:t>
      </w:r>
    </w:p>
    <w:p w14:paraId="2B050DB2"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Fatiga</w:t>
      </w:r>
    </w:p>
    <w:p w14:paraId="7BEB293F"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Puede indicar otras enfermedades asociadas con la exposición a la sílice, como la infección de tuberculosis o el cáncer de pulmón.</w:t>
      </w:r>
    </w:p>
    <w:p w14:paraId="079A4FF3"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Evaluación y tratamiento adicionales.</w:t>
      </w:r>
    </w:p>
    <w:p w14:paraId="45F9CCB5"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Examen físico: puede ser normal o revelar estertores secos o ronquidos en la auscultación pulmonar.</w:t>
      </w:r>
    </w:p>
    <w:p w14:paraId="1B2F14C5" w14:textId="5575FFAF"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La espirometría puede ser normal o puede mostrar solo un patrón restrictivo u obstructivo leve.</w:t>
      </w:r>
    </w:p>
    <w:p w14:paraId="783C9B4F" w14:textId="3EA3DFB0" w:rsidR="00A92173" w:rsidRPr="00EF27E3" w:rsidRDefault="00A92173" w:rsidP="001B1134">
      <w:pPr>
        <w:pStyle w:val="ListParagraph"/>
        <w:numPr>
          <w:ilvl w:val="4"/>
          <w:numId w:val="1"/>
        </w:numPr>
        <w:shd w:val="clear" w:color="auto" w:fill="FFFFFF"/>
        <w:tabs>
          <w:tab w:val="left" w:pos="5387"/>
        </w:tabs>
        <w:spacing w:after="0"/>
        <w:ind w:leftChars="0" w:left="3330" w:hanging="990"/>
        <w:jc w:val="both"/>
        <w:rPr>
          <w:color w:val="000000"/>
          <w:sz w:val="20"/>
          <w:szCs w:val="20"/>
        </w:rPr>
      </w:pPr>
      <w:r w:rsidRPr="00EF27E3">
        <w:rPr>
          <w:color w:val="000000"/>
          <w:sz w:val="20"/>
          <w:szCs w:val="20"/>
        </w:rPr>
        <w:t>Los hallazgos clásicos de la radiografía de tórax son pequeñas opacidades redondeadas bilateralmente en los campos pulmonares superiores. Sin embargo, también pueden ocurrir pequeñas opacidades irregulares y opacidades en otras áreas pulmonares. En raras ocasiones se observan "calcificaciones en cáscara de huevo" en los ganglios linfáticos hiliares y mediastínicos.</w:t>
      </w:r>
    </w:p>
    <w:p w14:paraId="481F2C6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Curso Clínico-La silicosis crónica, en la mayoría de los casos, es una enfermedad lentamente progresiva.</w:t>
      </w:r>
    </w:p>
    <w:p w14:paraId="6EF7F57C" w14:textId="53C7C561" w:rsidR="00A92173" w:rsidRPr="00EF27E3" w:rsidRDefault="00A92173" w:rsidP="001B1134">
      <w:pPr>
        <w:pStyle w:val="ListParagraph"/>
        <w:numPr>
          <w:ilvl w:val="5"/>
          <w:numId w:val="1"/>
        </w:numPr>
        <w:shd w:val="clear" w:color="auto" w:fill="FFFFFF"/>
        <w:spacing w:after="0"/>
        <w:ind w:leftChars="0" w:left="4410" w:hanging="1080"/>
        <w:jc w:val="both"/>
        <w:rPr>
          <w:color w:val="000000"/>
          <w:sz w:val="20"/>
          <w:szCs w:val="20"/>
        </w:rPr>
      </w:pPr>
      <w:r w:rsidRPr="00EF27E3">
        <w:rPr>
          <w:color w:val="000000"/>
          <w:sz w:val="20"/>
          <w:szCs w:val="20"/>
        </w:rPr>
        <w:t>Remita a los empleados con una radiografía de categoría 1/0 a un especialista certificado por la Junta estadounidense en enfermedades pulmonares o medicina ocupacional.</w:t>
      </w:r>
    </w:p>
    <w:p w14:paraId="3991967A" w14:textId="77777777" w:rsidR="00A92173" w:rsidRPr="00EF27E3" w:rsidRDefault="00A92173" w:rsidP="001B1134">
      <w:pPr>
        <w:pStyle w:val="ListParagraph"/>
        <w:numPr>
          <w:ilvl w:val="5"/>
          <w:numId w:val="1"/>
        </w:numPr>
        <w:shd w:val="clear" w:color="auto" w:fill="FFFFFF"/>
        <w:spacing w:after="0"/>
        <w:ind w:leftChars="0" w:left="4410" w:hanging="1080"/>
        <w:jc w:val="both"/>
        <w:rPr>
          <w:color w:val="000000"/>
          <w:sz w:val="20"/>
          <w:szCs w:val="20"/>
        </w:rPr>
      </w:pPr>
      <w:r w:rsidRPr="00EF27E3">
        <w:rPr>
          <w:color w:val="000000"/>
          <w:sz w:val="20"/>
          <w:szCs w:val="20"/>
        </w:rPr>
        <w:t>Aconseje a los empleados sobre las prácticas de trabajo y los hábitos personales que podrían afectar la salud respiratoria de los empleados.</w:t>
      </w:r>
    </w:p>
    <w:p w14:paraId="214686B0"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La silicosis acelerada generalmente ocurre dentro de los 5 a 10 años posteriores a la exposición y es causada por altos niveles de exposición a sílice cristalina respirable.</w:t>
      </w:r>
    </w:p>
    <w:p w14:paraId="29A9C28A"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w:t>
      </w:r>
    </w:p>
    <w:p w14:paraId="7098EF3D"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Dificultad para respirar</w:t>
      </w:r>
    </w:p>
    <w:p w14:paraId="361EDF76"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Tos</w:t>
      </w:r>
    </w:p>
    <w:p w14:paraId="596F85B6"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A veces producción de esputo.</w:t>
      </w:r>
    </w:p>
    <w:p w14:paraId="26697AC6"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 constitucionales</w:t>
      </w:r>
    </w:p>
    <w:p w14:paraId="3797C7B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Fiebre</w:t>
      </w:r>
    </w:p>
    <w:p w14:paraId="54D64DEA"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Pérdida de peso</w:t>
      </w:r>
    </w:p>
    <w:p w14:paraId="3C77E2F3"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Hemoptisis (tos con sangre)</w:t>
      </w:r>
    </w:p>
    <w:p w14:paraId="5E4A4F0E"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lastRenderedPageBreak/>
        <w:t>La fatiga puede anunciar una de estas infecciones o la aparición de cáncer de pulmón.</w:t>
      </w:r>
    </w:p>
    <w:p w14:paraId="63C7B090"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Evaluación y tratamiento adicionales</w:t>
      </w:r>
    </w:p>
    <w:p w14:paraId="7ECD7467"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Examen físico: estertores, ronquidos u otros hallazgos pulmonares anormales en relación con las enfermedades presentes. Los dedos en palillo de tambor, los signos de insuficiencia cardíaca y el cor pulmonale pueden estar presentes en la enfermedad pulmonar grave.</w:t>
      </w:r>
    </w:p>
    <w:p w14:paraId="2AF7896F"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Espirometría-patrón restrictivo o mixto restrictivo/obstructivo.</w:t>
      </w:r>
    </w:p>
    <w:p w14:paraId="75601E18"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Radiografía de tórax-pequeñas opacidades redondeadas y/o irregulares bilateralmente. Las opacidades grandes y los abscesos pulmonares pueden indicar infecciones, cáncer de pulmón o progresión a silicosis complicada, también denominada fibrosis masiva progresiva.</w:t>
      </w:r>
    </w:p>
    <w:p w14:paraId="036F7675"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La silicosis de curso clínico acelerado tiene un curso rápido y grave.</w:t>
      </w:r>
    </w:p>
    <w:p w14:paraId="6620242B" w14:textId="77ED2777" w:rsidR="00A92173" w:rsidRPr="00EF27E3" w:rsidRDefault="00A92173" w:rsidP="001B1134">
      <w:pPr>
        <w:pStyle w:val="ListParagraph"/>
        <w:numPr>
          <w:ilvl w:val="5"/>
          <w:numId w:val="1"/>
        </w:numPr>
        <w:shd w:val="clear" w:color="auto" w:fill="FFFFFF"/>
        <w:spacing w:after="0"/>
        <w:ind w:leftChars="0" w:left="4500" w:hanging="1170"/>
        <w:jc w:val="both"/>
        <w:rPr>
          <w:color w:val="000000"/>
          <w:sz w:val="20"/>
          <w:szCs w:val="20"/>
        </w:rPr>
      </w:pPr>
      <w:r w:rsidRPr="00EF27E3">
        <w:rPr>
          <w:color w:val="000000"/>
          <w:sz w:val="20"/>
          <w:szCs w:val="20"/>
        </w:rPr>
        <w:t>Recomendar la derivación a un especialista certificado por la junta en enfermedades pulmonares o medicina ocupacional, según se considere apropiado</w:t>
      </w:r>
    </w:p>
    <w:p w14:paraId="7A187244" w14:textId="77777777" w:rsidR="00A92173" w:rsidRPr="00EF27E3" w:rsidRDefault="00A92173" w:rsidP="001B1134">
      <w:pPr>
        <w:pStyle w:val="ListParagraph"/>
        <w:numPr>
          <w:ilvl w:val="5"/>
          <w:numId w:val="1"/>
        </w:numPr>
        <w:shd w:val="clear" w:color="auto" w:fill="FFFFFF"/>
        <w:spacing w:after="0"/>
        <w:ind w:leftChars="0" w:left="4500" w:hanging="1170"/>
        <w:jc w:val="both"/>
        <w:rPr>
          <w:color w:val="000000"/>
          <w:sz w:val="20"/>
          <w:szCs w:val="20"/>
        </w:rPr>
      </w:pPr>
      <w:r w:rsidRPr="00EF27E3">
        <w:rPr>
          <w:color w:val="000000"/>
          <w:sz w:val="20"/>
          <w:szCs w:val="20"/>
        </w:rPr>
        <w:t>Se recomienda la derivación a un Especialista siempre que se considere el diagnóstico de Silicosis acelerada.</w:t>
      </w:r>
    </w:p>
    <w:p w14:paraId="16E48315"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Silicosis aguda: es una enfermedad rara causada por la inhalación de concentraciones extremadamente altas de partículas de sílice cristalina respirable. La patología se parece a la proteinosis alveolar en que el material lipoproteináceo se acumula en los alvéolos. La silicosis aguda se desarrolla rápidamente, con frecuencia dentro de unos pocos meses a menos de dos años de exposición, y casi siempre es fatal.</w:t>
      </w:r>
    </w:p>
    <w:p w14:paraId="57857127"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w:t>
      </w:r>
    </w:p>
    <w:p w14:paraId="3552CBA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Dificultad para respirar repentina, progresiva y grave</w:t>
      </w:r>
    </w:p>
    <w:p w14:paraId="445C4B8B"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Síntomas constitucionales</w:t>
      </w:r>
    </w:p>
    <w:p w14:paraId="23CAE6F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Fiebre</w:t>
      </w:r>
    </w:p>
    <w:p w14:paraId="3A0B78E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Pérdida de peso</w:t>
      </w:r>
    </w:p>
    <w:p w14:paraId="652A3AB0"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Fatiga</w:t>
      </w:r>
    </w:p>
    <w:p w14:paraId="201A6D0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Tos productiva</w:t>
      </w:r>
    </w:p>
    <w:p w14:paraId="30D6298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Hemoptisis (tos con sangre)</w:t>
      </w:r>
    </w:p>
    <w:p w14:paraId="23049E94"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Dolor torácico pleurítico.</w:t>
      </w:r>
    </w:p>
    <w:p w14:paraId="03444885"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Evaluación y tratamiento adicionales</w:t>
      </w:r>
    </w:p>
    <w:p w14:paraId="6D9EC4FF"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Examen físico: disnea en reposo, cianosis, disminución de los ruidos respiratorios, estertores inspiratorios, dedos en palillo de tambor y fiebre.</w:t>
      </w:r>
    </w:p>
    <w:p w14:paraId="7EF84AB2"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Espirometría-patrón restrictivo o mixto restrictivo/obstructivo.</w:t>
      </w:r>
    </w:p>
    <w:p w14:paraId="16567A57"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Radiografía de tórax: turbidez difusa de los pulmones bilateralmente al comienzo de la enfermedad. A medida que la enfermedad progresa, aparecerá la apariencia de "vidrio esmerilado" de la fibrosis intersticial.</w:t>
      </w:r>
    </w:p>
    <w:p w14:paraId="0EA00FD5"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Curso clínico</w:t>
      </w:r>
    </w:p>
    <w:p w14:paraId="2D8C2902" w14:textId="6155AB7E" w:rsidR="00A92173" w:rsidRPr="00EF27E3" w:rsidRDefault="00A92173" w:rsidP="001B1134">
      <w:pPr>
        <w:pStyle w:val="ListParagraph"/>
        <w:numPr>
          <w:ilvl w:val="5"/>
          <w:numId w:val="1"/>
        </w:numPr>
        <w:shd w:val="clear" w:color="auto" w:fill="FFFFFF"/>
        <w:spacing w:after="0"/>
        <w:ind w:leftChars="0" w:left="4590" w:hanging="1170"/>
        <w:jc w:val="both"/>
        <w:rPr>
          <w:color w:val="000000"/>
          <w:sz w:val="20"/>
          <w:szCs w:val="20"/>
        </w:rPr>
      </w:pPr>
      <w:r w:rsidRPr="00EF27E3">
        <w:rPr>
          <w:color w:val="000000"/>
          <w:sz w:val="20"/>
          <w:szCs w:val="20"/>
        </w:rPr>
        <w:t>Derive urgentemente a un especialista certificado por la junta en enfermedades pulmonares o medicina ocupacional para evaluación y tratamiento.</w:t>
      </w:r>
    </w:p>
    <w:p w14:paraId="750E0844"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Enfermedad pulmonar obstructiva crónica (EPOC), que incluye bronquitis crónica y enfisema</w:t>
      </w:r>
    </w:p>
    <w:p w14:paraId="3660110A" w14:textId="64CCED05"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Evaluación y Tratamiento</w:t>
      </w:r>
    </w:p>
    <w:p w14:paraId="1E7A7BAF"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Pruebas periódicas de espirometría para evaluar a cada empleado por cambios progresivos consistentes con el desarrollo de EPOC.</w:t>
      </w:r>
    </w:p>
    <w:p w14:paraId="5BE7B440"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Estudie las tendencias generales en los resultados de la espirometría para grupos de empleados del mismo lugar de trabajo para identificar posibles problemas que puedan existir en ese lugar de trabajo.</w:t>
      </w:r>
    </w:p>
    <w:p w14:paraId="62FAE69F"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Sistema Inmune y Renal</w:t>
      </w:r>
    </w:p>
    <w:p w14:paraId="4E6E46C4"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La exposición a la sílice se ha asociado con varios tipos de enfermedad renal, que incluyen</w:t>
      </w:r>
    </w:p>
    <w:p w14:paraId="779DA15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Glomerulonefritis</w:t>
      </w:r>
    </w:p>
    <w:p w14:paraId="7543AC7E"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Síndrome nefrótico</w:t>
      </w:r>
    </w:p>
    <w:p w14:paraId="403D63F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Enfermedad renal en etapa terminal que requiere diálisis</w:t>
      </w:r>
    </w:p>
    <w:p w14:paraId="0E310739"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La exposición a la sílice también se ha asociado con otras condiciones autoinmunes, que incluyen</w:t>
      </w:r>
    </w:p>
    <w:p w14:paraId="09EEDF4A"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Esclerosis sistémica progresiva</w:t>
      </w:r>
    </w:p>
    <w:p w14:paraId="2BF8DB99"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Lupus eritematoso sistémico</w:t>
      </w:r>
    </w:p>
    <w:p w14:paraId="050D3B87"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Artritis Reumatoide.</w:t>
      </w:r>
    </w:p>
    <w:p w14:paraId="67B14D55"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Tuberculosis y otras infecciones: los empleados expuestos a la sílice con tuberculosis latente tienen entre 3 y 30 veces más probabilidades de desarrollar una infección de tuberculosis pulmonar activa.</w:t>
      </w:r>
    </w:p>
    <w:p w14:paraId="17F0A4ED"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Cáncer de pulmón: varios estudios han indicado que el riesgo de cáncer de pulmón por la exposición a la sílice cristalina respirable y el tabaquismo es mayor que el aditivo.</w:t>
      </w:r>
    </w:p>
    <w:p w14:paraId="05F3D2EC" w14:textId="77777777" w:rsidR="00A92173" w:rsidRPr="00EF27E3" w:rsidRDefault="00A92173" w:rsidP="009E098C">
      <w:pPr>
        <w:pStyle w:val="ListParagraph"/>
        <w:numPr>
          <w:ilvl w:val="1"/>
          <w:numId w:val="1"/>
        </w:numPr>
        <w:shd w:val="clear" w:color="auto" w:fill="FFFFFF"/>
        <w:spacing w:after="0"/>
        <w:ind w:leftChars="0" w:left="810" w:hanging="540"/>
        <w:jc w:val="both"/>
        <w:rPr>
          <w:color w:val="000000"/>
          <w:sz w:val="20"/>
          <w:szCs w:val="20"/>
        </w:rPr>
      </w:pPr>
      <w:r w:rsidRPr="00EF27E3">
        <w:rPr>
          <w:color w:val="000000"/>
          <w:sz w:val="20"/>
          <w:szCs w:val="20"/>
        </w:rPr>
        <w:t>Vigilancia médica</w:t>
      </w:r>
    </w:p>
    <w:p w14:paraId="75EF4B66" w14:textId="07400FBC"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 xml:space="preserve">Historia - una </w:t>
      </w:r>
      <w:r w:rsidRPr="00EF27E3">
        <w:rPr>
          <w:sz w:val="20"/>
          <w:szCs w:val="20"/>
          <w:shd w:val="clear" w:color="auto" w:fill="FFFFFF"/>
        </w:rPr>
        <w:t>historia médica y laboral, con énfasis en:</w:t>
      </w:r>
    </w:p>
    <w:p w14:paraId="782C7393"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Exposición pasada, presente y anticipada a cualquier otro agente que afecte el sistema respiratorio</w:t>
      </w:r>
    </w:p>
    <w:p w14:paraId="5C5AC16A"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Cualquier historial de disfunción del sistema respiratorio, incluidos signos y síntomas de enfermedad respiratoria (p. ej., dificultad para respirar, tos, sibilancias)</w:t>
      </w:r>
    </w:p>
    <w:p w14:paraId="20BAF8D2"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Historia de la tuberculosis</w:t>
      </w:r>
    </w:p>
    <w:p w14:paraId="3FE846B0"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Tabaquismo y antecedentes.</w:t>
      </w:r>
    </w:p>
    <w:p w14:paraId="4CECA2D5"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Otra información que debe proporcionar el empleador al PLHCP:</w:t>
      </w:r>
    </w:p>
    <w:p w14:paraId="2D2F9780"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Una descripción de los deberes anteriores, actuales y anticipados del empleado en relación con la exposición ocupacional del empleado a un agente.</w:t>
      </w:r>
    </w:p>
    <w:p w14:paraId="15D3E657"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Los niveles anteriores, actuales y anticipados de exposición ocupacional del empleado a un agente.</w:t>
      </w:r>
    </w:p>
    <w:p w14:paraId="7D384D1A"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Una descripción de cualquier equipo de protección personal usado o que usará el empleado, incluyendo cuándo y por cuánto tiempo el empleado ha usado o usará ese equipo; y</w:t>
      </w:r>
    </w:p>
    <w:p w14:paraId="73F2D2CE"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Información de registros de exámenes médicos relacionados con el empleo proporcionados previamente al empleado y actualmente bajo el control del empleador.</w:t>
      </w:r>
    </w:p>
    <w:p w14:paraId="458E2C7C"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La información sobre condiciones médicas pasadas y actuales (particularmente antecedentes de enfermedad renal, enfermedad cardíaca, enfermedad del tejido conectivo y otras enfermedades inmunitarias), medicamentos, hospitalizaciones y cirugías pueden revelar riesgos para la salud, como la supresión inmunitaria, que podría poner a un empleado en mayor riesgo para la salud debido a la exposición a un agente.</w:t>
      </w:r>
    </w:p>
    <w:p w14:paraId="7A4D706D" w14:textId="3E7830C8"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Examen físico</w:t>
      </w:r>
    </w:p>
    <w:p w14:paraId="07DF0E92"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Especial énfasis en el sistema respiratorio.</w:t>
      </w:r>
    </w:p>
    <w:p w14:paraId="133EAC04"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Realizado en el examen inicial y cada tres años a partir de entonces.</w:t>
      </w:r>
    </w:p>
    <w:p w14:paraId="6659D90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Un examen del sistema cardíaco, un examen de las extremidades (para palpitaciones, cianosis, edema o anomalías articulares) y un examen de otros sistemas de órganos pertinentes identificados durante la historia.</w:t>
      </w:r>
    </w:p>
    <w:p w14:paraId="1FE82854" w14:textId="77777777" w:rsidR="00A92173" w:rsidRPr="00EF27E3" w:rsidRDefault="00A92173" w:rsidP="009E098C">
      <w:pPr>
        <w:pStyle w:val="ListParagraph"/>
        <w:numPr>
          <w:ilvl w:val="2"/>
          <w:numId w:val="1"/>
        </w:numPr>
        <w:shd w:val="clear" w:color="auto" w:fill="FFFFFF"/>
        <w:spacing w:after="0"/>
        <w:ind w:leftChars="0" w:left="1530" w:hanging="720"/>
        <w:jc w:val="both"/>
        <w:rPr>
          <w:sz w:val="20"/>
          <w:szCs w:val="20"/>
        </w:rPr>
      </w:pPr>
      <w:r w:rsidRPr="00EF27E3">
        <w:rPr>
          <w:sz w:val="20"/>
          <w:szCs w:val="20"/>
        </w:rPr>
        <w:t xml:space="preserve">Pruebas de </w:t>
      </w:r>
      <w:r w:rsidRPr="00EF27E3">
        <w:rPr>
          <w:color w:val="000000"/>
          <w:sz w:val="20"/>
          <w:szCs w:val="20"/>
        </w:rPr>
        <w:t>tuberculosis</w:t>
      </w:r>
    </w:p>
    <w:p w14:paraId="285FF43C"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Pruebas de línea de base para TB en el examen inicial.</w:t>
      </w:r>
    </w:p>
    <w:p w14:paraId="042973D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 xml:space="preserve">Se deben seguir las pautas actuales de los CDC ( </w:t>
      </w:r>
      <w:r w:rsidRPr="00EF27E3">
        <w:rPr>
          <w:i/>
          <w:iCs/>
          <w:sz w:val="20"/>
          <w:szCs w:val="20"/>
          <w:shd w:val="clear" w:color="auto" w:fill="FFFFFF"/>
        </w:rPr>
        <w:t xml:space="preserve">consulte los Centros para el Control y la Prevención de Enfermedades) para aplicar e interpretar las pruebas cutáneas de tuberculina (TST). </w:t>
      </w:r>
      <w:r w:rsidRPr="00EF27E3">
        <w:rPr>
          <w:sz w:val="20"/>
          <w:szCs w:val="20"/>
          <w:shd w:val="clear" w:color="auto" w:fill="FFFFFF"/>
        </w:rPr>
        <w:t>Las reacciones de TST deben ser interpretadas y documentadas dentro de las 48 a 72 horas posteriores a la administración por parte de PLHCP capacitados.</w:t>
      </w:r>
    </w:p>
    <w:p w14:paraId="454DFB56"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Se pueden usar pruebas de TB alternativas, como los ensayos de liberación de interferón-g (IGRA), si la sensibilidad y la especificidad son comparables a la TST.</w:t>
      </w:r>
    </w:p>
    <w:p w14:paraId="5BAFF23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Remita a los empleados con pruebas de TB positivas y resultados de pruebas indeterminados a la agencia o especialista correspondiente, según los resultados de las pruebas y el cuadro clínico.</w:t>
      </w:r>
    </w:p>
    <w:p w14:paraId="07EC68B3"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Principios de salud pública para el control de la TB</w:t>
      </w:r>
    </w:p>
    <w:p w14:paraId="13795566"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Detección y notificación rápidas de personas que han contraído TB activa;</w:t>
      </w:r>
    </w:p>
    <w:p w14:paraId="30CDF0A3"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Prevención de la propagación de la TB a contactos cercanos de casos de TB activa;</w:t>
      </w:r>
    </w:p>
    <w:p w14:paraId="67957B19"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Prevención de la TB activa en personas con TB latente mediante pruebas y tratamientos específicos; y</w:t>
      </w:r>
    </w:p>
    <w:p w14:paraId="6CA05EC6"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Identificación de entornos con alto riesgo de transmisión de TB para que se puedan implementar medidas apropiadas de control de infecciones.</w:t>
      </w:r>
    </w:p>
    <w:p w14:paraId="5F60B2F6" w14:textId="77777777" w:rsidR="00A92173" w:rsidRPr="00EF27E3" w:rsidRDefault="00A92173" w:rsidP="009E098C">
      <w:pPr>
        <w:pStyle w:val="ListParagraph"/>
        <w:numPr>
          <w:ilvl w:val="2"/>
          <w:numId w:val="1"/>
        </w:numPr>
        <w:shd w:val="clear" w:color="auto" w:fill="FFFFFF"/>
        <w:spacing w:after="0"/>
        <w:ind w:leftChars="0" w:left="1530" w:hanging="720"/>
        <w:jc w:val="both"/>
        <w:rPr>
          <w:sz w:val="20"/>
          <w:szCs w:val="20"/>
        </w:rPr>
      </w:pPr>
      <w:r w:rsidRPr="00EF27E3">
        <w:rPr>
          <w:sz w:val="20"/>
          <w:szCs w:val="20"/>
        </w:rPr>
        <w:t>Pruebas de función pulmonar</w:t>
      </w:r>
    </w:p>
    <w:p w14:paraId="1BBE69E7"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Realizado en el examen inicial y cada tres años a partir de entonces.</w:t>
      </w:r>
    </w:p>
    <w:p w14:paraId="72F170EC"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 de función pulmonar requerida</w:t>
      </w:r>
    </w:p>
    <w:p w14:paraId="3385FBCE"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Espirometría</w:t>
      </w:r>
    </w:p>
    <w:p w14:paraId="3619E13B"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Capacidad vital forzada (CVF)</w:t>
      </w:r>
    </w:p>
    <w:p w14:paraId="19E274A5"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Volumen espiratorio forzado en un segundo (FEV1),</w:t>
      </w:r>
    </w:p>
    <w:p w14:paraId="1FA19A1C"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 xml:space="preserve">FEV </w:t>
      </w:r>
      <w:r w:rsidRPr="00EF27E3">
        <w:rPr>
          <w:sz w:val="20"/>
          <w:szCs w:val="20"/>
          <w:shd w:val="clear" w:color="auto" w:fill="FFFFFF"/>
          <w:vertAlign w:val="subscript"/>
        </w:rPr>
        <w:t xml:space="preserve">1 </w:t>
      </w:r>
      <w:r w:rsidRPr="00EF27E3">
        <w:rPr>
          <w:sz w:val="20"/>
          <w:szCs w:val="20"/>
          <w:shd w:val="clear" w:color="auto" w:fill="FFFFFF"/>
        </w:rPr>
        <w:t>/FVC.</w:t>
      </w:r>
    </w:p>
    <w:p w14:paraId="15A1F88B"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Pruebas administradas por un técnico en espirometría con un certificado vigente de un curso de espirometría aprobado por el Instituto Nacional de Salud y Seguridad Ocupacional (NIOSH).</w:t>
      </w:r>
    </w:p>
    <w:p w14:paraId="01C8B435" w14:textId="77777777"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Radiografía de pecho</w:t>
      </w:r>
    </w:p>
    <w:p w14:paraId="0BB60237"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Una única proyección radiográfica posteroanterior (PA) o radiografía del tórax en plena inspiración registrada en película (no menos de 14 x 17 pulgadas y no más de 16 x 17 pulgadas) o sistemas de radiografía digital.</w:t>
      </w:r>
    </w:p>
    <w:p w14:paraId="607FAADC"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Realizado en el examen inicial y cada tres años a partir de entonces.</w:t>
      </w:r>
    </w:p>
    <w:p w14:paraId="1CCA9135"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Interpretado y clasificado de acuerdo con la Clasificación Internacional de Radiografías de Neumoconiosis de la Oficina Internacional del Trabajo (OIT) por un Lector B certificado por NIOSH.</w:t>
      </w:r>
    </w:p>
    <w:p w14:paraId="223159E6" w14:textId="77777777"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 xml:space="preserve">Otras pruebas: las </w:t>
      </w:r>
      <w:r w:rsidRPr="00EF27E3">
        <w:rPr>
          <w:sz w:val="20"/>
          <w:szCs w:val="20"/>
          <w:shd w:val="clear" w:color="auto" w:fill="FFFFFF"/>
        </w:rPr>
        <w:t>pruebas adicionales que los PLHCP pueden solicitar en función de los resultados de los exámenes médicos incluyen, entre otras,</w:t>
      </w:r>
    </w:p>
    <w:p w14:paraId="5A529682"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Pruebas de función renal de referencia, por ejemplo, creatinina sérica y análisis de orina (si un empleado informa antecedentes de pruebas de función renal anormales)</w:t>
      </w:r>
    </w:p>
    <w:p w14:paraId="2D64DDC8"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Tomografía computarizada (TC) de tórax para cáncer de pulmón o EPOC</w:t>
      </w:r>
    </w:p>
    <w:p w14:paraId="119D125B"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Pruebas para enfermedades inmunológicas</w:t>
      </w:r>
    </w:p>
    <w:p w14:paraId="51D5F896"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Pruebas cardíacas para enfermedades cardíacas relacionadas con los pulmones, como cor pulmonale.</w:t>
      </w:r>
    </w:p>
    <w:p w14:paraId="18AE6FEE" w14:textId="5E11F1F7" w:rsidR="00A92173" w:rsidRPr="00EF27E3" w:rsidRDefault="00A92173" w:rsidP="009E098C">
      <w:pPr>
        <w:pStyle w:val="ListParagraph"/>
        <w:numPr>
          <w:ilvl w:val="1"/>
          <w:numId w:val="1"/>
        </w:numPr>
        <w:shd w:val="clear" w:color="auto" w:fill="FFFFFF"/>
        <w:spacing w:after="0"/>
        <w:ind w:leftChars="0"/>
        <w:jc w:val="both"/>
        <w:rPr>
          <w:color w:val="000000"/>
          <w:sz w:val="20"/>
          <w:szCs w:val="20"/>
        </w:rPr>
      </w:pPr>
      <w:r w:rsidRPr="00EF27E3">
        <w:rPr>
          <w:color w:val="000000"/>
          <w:sz w:val="20"/>
          <w:szCs w:val="20"/>
        </w:rPr>
        <w:t>Confidencialidad y otras consideraciones</w:t>
      </w:r>
    </w:p>
    <w:p w14:paraId="7708C457" w14:textId="762A1DBD" w:rsidR="00A92173" w:rsidRPr="00EF27E3" w:rsidRDefault="00A92173" w:rsidP="009E098C">
      <w:pPr>
        <w:pStyle w:val="ListParagraph"/>
        <w:numPr>
          <w:ilvl w:val="2"/>
          <w:numId w:val="1"/>
        </w:numPr>
        <w:shd w:val="clear" w:color="auto" w:fill="FFFFFF"/>
        <w:spacing w:after="0"/>
        <w:ind w:leftChars="0" w:left="1530" w:hanging="810"/>
        <w:jc w:val="both"/>
        <w:rPr>
          <w:sz w:val="20"/>
          <w:szCs w:val="20"/>
        </w:rPr>
      </w:pPr>
      <w:r w:rsidRPr="00EF27E3">
        <w:rPr>
          <w:color w:val="000000"/>
          <w:sz w:val="20"/>
          <w:szCs w:val="20"/>
        </w:rPr>
        <w:t>Se requieren dos comunicaciones escritas separadas: el informe médico escrito del empleado y la opinión médica escrita del empleador.</w:t>
      </w:r>
    </w:p>
    <w:p w14:paraId="2661375E" w14:textId="1C71E37C" w:rsidR="00A92173" w:rsidRPr="00EF27E3" w:rsidRDefault="00D65A85" w:rsidP="009E098C">
      <w:pPr>
        <w:pStyle w:val="ListParagraph"/>
        <w:numPr>
          <w:ilvl w:val="3"/>
          <w:numId w:val="1"/>
        </w:numPr>
        <w:shd w:val="clear" w:color="auto" w:fill="FFFFFF"/>
        <w:spacing w:after="0"/>
        <w:ind w:leftChars="0" w:left="2340" w:hanging="827"/>
        <w:jc w:val="both"/>
        <w:rPr>
          <w:sz w:val="20"/>
          <w:szCs w:val="20"/>
        </w:rPr>
      </w:pPr>
      <w:r w:rsidRPr="00EF27E3">
        <w:rPr>
          <w:color w:val="000000"/>
          <w:sz w:val="20"/>
          <w:szCs w:val="20"/>
        </w:rPr>
        <w:t>El informe médico escrito contiene lo siguiente:</w:t>
      </w:r>
    </w:p>
    <w:p w14:paraId="7A95CB11"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Una declaración que indique los resultados del examen médico.</w:t>
      </w:r>
    </w:p>
    <w:p w14:paraId="5F9C34AC"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Cualquier condición médica que aumentaría el riesgo de deterioro material de la salud del empleado debido a la exposición a la sílice cristalina respirable.</w:t>
      </w:r>
    </w:p>
    <w:p w14:paraId="069DA11A"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Cualquier condición médica que requiera evaluación o tratamiento adicional.</w:t>
      </w:r>
    </w:p>
    <w:p w14:paraId="683A0429"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Cualquier limitación recomendada sobre el uso de respiradores por parte del empleado.</w:t>
      </w:r>
    </w:p>
    <w:p w14:paraId="14BE8F0F"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Cualquier limitación recomendada sobre la exposición del empleado a la sílice cristalina respirable</w:t>
      </w:r>
    </w:p>
    <w:p w14:paraId="6D82F715"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Una declaración de que el empleado debe ser examinado por un especialista certificado por la junta en enfermedades pulmonares o medicina ocupacional si el B Reader clasifica la radiografía de tórax como 1/0 o superior, o si se considera apropiado remitirlo a un especialista.</w:t>
      </w:r>
    </w:p>
    <w:p w14:paraId="544DC927" w14:textId="77777777" w:rsidR="00A92173" w:rsidRPr="00EF27E3" w:rsidRDefault="00A92173" w:rsidP="009E098C">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La opinión médica escrita del PLHCP/Especialistas incluye:</w:t>
      </w:r>
    </w:p>
    <w:p w14:paraId="472AC5FE"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La fecha del examen;</w:t>
      </w:r>
    </w:p>
    <w:p w14:paraId="4EFA7F88"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Una declaración de que el examen ha cumplido con los requisitos de este programa; y</w:t>
      </w:r>
    </w:p>
    <w:p w14:paraId="7AFB7193"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Cualquier limitación recomendada sobre el uso de respiradores por parte del empleado.</w:t>
      </w:r>
    </w:p>
    <w:p w14:paraId="1B410732"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 xml:space="preserve">Si el </w:t>
      </w:r>
      <w:r w:rsidRPr="00EF27E3">
        <w:rPr>
          <w:sz w:val="20"/>
          <w:szCs w:val="20"/>
        </w:rPr>
        <w:t>empleado proporciona una autorización por escrito al PLHCP, la opinión por escrito para el empleador debe incluir uno o ambos de los siguientes:</w:t>
      </w:r>
    </w:p>
    <w:p w14:paraId="28BDC722" w14:textId="77777777" w:rsidR="00A92173" w:rsidRPr="00EF27E3" w:rsidRDefault="00A92173" w:rsidP="00CD03E8">
      <w:pPr>
        <w:pStyle w:val="ListParagraph"/>
        <w:numPr>
          <w:ilvl w:val="5"/>
          <w:numId w:val="1"/>
        </w:numPr>
        <w:shd w:val="clear" w:color="auto" w:fill="FFFFFF"/>
        <w:spacing w:after="0"/>
        <w:ind w:leftChars="0" w:left="4590" w:hanging="1170"/>
        <w:jc w:val="both"/>
        <w:rPr>
          <w:sz w:val="20"/>
          <w:szCs w:val="20"/>
        </w:rPr>
      </w:pPr>
      <w:r w:rsidRPr="00EF27E3">
        <w:rPr>
          <w:sz w:val="20"/>
          <w:szCs w:val="20"/>
        </w:rPr>
        <w:t xml:space="preserve">Cualquier limitación recomendada sobre </w:t>
      </w:r>
      <w:r w:rsidRPr="00EF27E3">
        <w:rPr>
          <w:sz w:val="20"/>
          <w:szCs w:val="20"/>
          <w:shd w:val="clear" w:color="auto" w:fill="FFFFFF"/>
        </w:rPr>
        <w:t>la exposición del empleado a la sílice cristalina respirable</w:t>
      </w:r>
    </w:p>
    <w:p w14:paraId="27F0A656" w14:textId="4FD19721" w:rsidR="00A92173" w:rsidRPr="00EF27E3" w:rsidRDefault="00A92173" w:rsidP="00A92173">
      <w:pPr>
        <w:pStyle w:val="ListParagraph"/>
        <w:numPr>
          <w:ilvl w:val="5"/>
          <w:numId w:val="1"/>
        </w:numPr>
        <w:shd w:val="clear" w:color="auto" w:fill="FFFFFF"/>
        <w:spacing w:after="0"/>
        <w:ind w:leftChars="0" w:left="4590" w:hanging="1170"/>
        <w:jc w:val="both"/>
        <w:rPr>
          <w:sz w:val="20"/>
          <w:szCs w:val="20"/>
        </w:rPr>
      </w:pPr>
      <w:r w:rsidRPr="00EF27E3">
        <w:rPr>
          <w:sz w:val="20"/>
          <w:szCs w:val="20"/>
        </w:rPr>
        <w:t>Una declaración de que el empleado debe ser examinado por un especialista en enfermedades pulmonares o medicina ocupacional certificado por la junta si la radiografía de tórax proporcionada de acuerdo con esta sección se clasifica como 1/0 o superior por el Lector B, o si es referido a un Especialista se considera apropiado de otro modo.</w:t>
      </w:r>
    </w:p>
    <w:p w14:paraId="5629E731" w14:textId="77777777" w:rsidR="00A92173" w:rsidRPr="00EF27E3" w:rsidRDefault="00A92173" w:rsidP="00CD03E8">
      <w:pPr>
        <w:pStyle w:val="ListParagraph"/>
        <w:numPr>
          <w:ilvl w:val="2"/>
          <w:numId w:val="1"/>
        </w:numPr>
        <w:shd w:val="clear" w:color="auto" w:fill="FFFFFF"/>
        <w:spacing w:after="0"/>
        <w:ind w:leftChars="0" w:left="1530" w:hanging="810"/>
        <w:jc w:val="both"/>
        <w:rPr>
          <w:sz w:val="20"/>
          <w:szCs w:val="20"/>
        </w:rPr>
      </w:pPr>
      <w:r w:rsidRPr="00EF27E3">
        <w:rPr>
          <w:color w:val="000000"/>
          <w:sz w:val="20"/>
          <w:szCs w:val="20"/>
        </w:rPr>
        <w:t>El PLHCP puede (y debe) divulgar la recomendación de derivación del PLHCP (si corresponde) como parte de la opinión médica por escrito para el empleador con la autorización por escrito del empleado. Sin embargo, sin el permiso por escrito del empleado, la opinión al empleador no puede incluir información sobre los límites recomendados de exposición del empleado a la sílice cristalina respirable o cualquier recomendación de referencia.</w:t>
      </w:r>
    </w:p>
    <w:p w14:paraId="20971440" w14:textId="77777777" w:rsidR="00A92173" w:rsidRPr="00EF27E3" w:rsidRDefault="00A92173" w:rsidP="00A92173">
      <w:pPr>
        <w:pStyle w:val="ListParagraph"/>
        <w:shd w:val="clear" w:color="auto" w:fill="FFFFFF"/>
        <w:spacing w:after="0"/>
        <w:ind w:leftChars="0" w:left="1260"/>
        <w:jc w:val="both"/>
        <w:rPr>
          <w:sz w:val="20"/>
          <w:szCs w:val="20"/>
        </w:rPr>
      </w:pPr>
    </w:p>
    <w:p w14:paraId="5EF09FBC" w14:textId="77777777" w:rsidR="00A92173" w:rsidRPr="00EF27E3" w:rsidRDefault="00A92173" w:rsidP="009E098C">
      <w:pPr>
        <w:numPr>
          <w:ilvl w:val="0"/>
          <w:numId w:val="1"/>
        </w:numPr>
        <w:shd w:val="clear" w:color="auto" w:fill="FFFFFF"/>
        <w:spacing w:after="0" w:line="276" w:lineRule="auto"/>
        <w:jc w:val="both"/>
        <w:rPr>
          <w:rFonts w:ascii="Arial" w:hAnsi="Arial" w:cs="Arial"/>
          <w:sz w:val="20"/>
          <w:szCs w:val="20"/>
        </w:rPr>
      </w:pPr>
      <w:r w:rsidRPr="00EF27E3">
        <w:rPr>
          <w:rFonts w:ascii="Arial" w:hAnsi="Arial" w:cs="Arial"/>
          <w:sz w:val="20"/>
          <w:szCs w:val="20"/>
        </w:rPr>
        <w:t>Responsabilidad</w:t>
      </w:r>
    </w:p>
    <w:p w14:paraId="502CC9E2"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administración</w:t>
      </w:r>
    </w:p>
    <w:p w14:paraId="6149D417" w14:textId="189EDD5D" w:rsidR="00A92173" w:rsidRPr="00EF27E3" w:rsidRDefault="00A92173" w:rsidP="00CD03E8">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Brinda capacitación a los PLHCP para ayudarlos a conocer las enfermedades y los síntomas causados por la sílice cristalina respirable.</w:t>
      </w:r>
    </w:p>
    <w:p w14:paraId="685A7342"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color w:val="000000"/>
          <w:sz w:val="20"/>
          <w:szCs w:val="20"/>
        </w:rPr>
      </w:pPr>
      <w:r w:rsidRPr="00EF27E3">
        <w:rPr>
          <w:rFonts w:ascii="Arial" w:hAnsi="Arial" w:cs="Arial"/>
          <w:sz w:val="20"/>
          <w:szCs w:val="20"/>
          <w:shd w:val="clear" w:color="auto" w:fill="FFFFFF"/>
        </w:rPr>
        <w:t>Asegura que este programa siempre se implemente y se cumpla en consecuencia.</w:t>
      </w:r>
    </w:p>
    <w:p w14:paraId="7104A34F"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Médicos y otros profesionales de la salud autorizados (PLHCP)</w:t>
      </w:r>
    </w:p>
    <w:p w14:paraId="59FA02F6"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Proporciona los servicios de atención de la salud particulares exigidos por el estándar de sílice cristalina respirable.</w:t>
      </w:r>
    </w:p>
    <w:p w14:paraId="67507B8B"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Explicar los resultados del examen médico al empleado.</w:t>
      </w:r>
    </w:p>
    <w:p w14:paraId="15A07E15"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Proporciona un informe médico escrito al empleado dentro de los 30 días posteriores al examen.</w:t>
      </w:r>
    </w:p>
    <w:p w14:paraId="4911A566" w14:textId="414F8743"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Remite los casos sospechosos de silicosis, EPOC avanzada u otras afecciones respiratorias que causan discapacidad a un especialista certificado por la Junta en enfermedades pulmonares o medicina ocupacional lo antes posible.</w:t>
      </w:r>
    </w:p>
    <w:p w14:paraId="4503159E"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Discute todos los hallazgos y resultados de las pruebas, así como cualquier recomendación para la salud del empleado, prácticas de seguridad y salud en el lugar de trabajo y referencias médicas.</w:t>
      </w:r>
    </w:p>
    <w:p w14:paraId="226126E4" w14:textId="5830DC38"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Proporciona a los empleados una copia completa de sus exámenes y resultados de las pruebas.</w:t>
      </w:r>
    </w:p>
    <w:p w14:paraId="041DC02A" w14:textId="657D37D1"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Se refiere a empleados o consultas con profesionales de la salud pública como resultado de la vigilancia médica de sílice.</w:t>
      </w:r>
    </w:p>
    <w:p w14:paraId="0461BBBE"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sz w:val="20"/>
          <w:szCs w:val="20"/>
        </w:rPr>
      </w:pPr>
      <w:r w:rsidRPr="00EF27E3">
        <w:rPr>
          <w:rFonts w:ascii="Arial" w:hAnsi="Arial" w:cs="Arial"/>
          <w:sz w:val="20"/>
          <w:szCs w:val="20"/>
        </w:rPr>
        <w:t>Especialista medico</w:t>
      </w:r>
    </w:p>
    <w:p w14:paraId="346C0925"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Explica los resultados del examen médico al empleado.</w:t>
      </w:r>
    </w:p>
    <w:p w14:paraId="2FA78EDC"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Proporciona un informe médico escrito al empleado dentro de los 30 días posteriores al examen.</w:t>
      </w:r>
    </w:p>
    <w:p w14:paraId="4A204D29" w14:textId="375FA6E1"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Discute todos los hallazgos y resultados de las pruebas y cualquier recomendación para la salud del empleado, las prácticas de seguridad y salud en el lugar de trabajo y las referencias médicas.</w:t>
      </w:r>
    </w:p>
    <w:p w14:paraId="543D036C" w14:textId="6B91CB6B"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Proporciona a los empleados una copia completa de sus exámenes y resultados de las pruebas.</w:t>
      </w:r>
    </w:p>
    <w:p w14:paraId="43B924CB"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sz w:val="20"/>
          <w:szCs w:val="20"/>
        </w:rPr>
      </w:pPr>
      <w:r w:rsidRPr="00EF27E3">
        <w:rPr>
          <w:rFonts w:ascii="Arial" w:hAnsi="Arial" w:cs="Arial"/>
          <w:sz w:val="20"/>
          <w:szCs w:val="20"/>
        </w:rPr>
        <w:t>Profesionales de la salud pública</w:t>
      </w:r>
    </w:p>
    <w:p w14:paraId="30C5626E" w14:textId="77777777" w:rsidR="00A92173" w:rsidRPr="00EF27E3" w:rsidRDefault="00A92173" w:rsidP="00CD03E8">
      <w:pPr>
        <w:pStyle w:val="ListParagraph"/>
        <w:numPr>
          <w:ilvl w:val="2"/>
          <w:numId w:val="1"/>
        </w:numPr>
        <w:shd w:val="clear" w:color="auto" w:fill="FFFFFF"/>
        <w:spacing w:after="0"/>
        <w:ind w:leftChars="0" w:left="1530" w:hanging="720"/>
        <w:jc w:val="both"/>
        <w:rPr>
          <w:sz w:val="20"/>
          <w:szCs w:val="20"/>
        </w:rPr>
      </w:pPr>
      <w:r w:rsidRPr="00EF27E3">
        <w:rPr>
          <w:sz w:val="20"/>
          <w:szCs w:val="20"/>
          <w:shd w:val="clear" w:color="auto" w:fill="FFFFFF"/>
        </w:rPr>
        <w:t>Ayuda en el diagnóstico y tratamiento de casos individuales, así como en la evaluación de otras personas potencialmente afectadas, incluidos los compañeros de trabajo.</w:t>
      </w:r>
    </w:p>
    <w:p w14:paraId="1F5DD1E8" w14:textId="77777777" w:rsidR="00A92173" w:rsidRPr="00EF27E3" w:rsidRDefault="00A92173" w:rsidP="00A92173">
      <w:pPr>
        <w:pStyle w:val="ListParagraph"/>
        <w:shd w:val="clear" w:color="auto" w:fill="FFFFFF"/>
        <w:spacing w:after="0"/>
        <w:ind w:leftChars="0" w:left="1260"/>
        <w:jc w:val="both"/>
        <w:rPr>
          <w:sz w:val="20"/>
          <w:szCs w:val="20"/>
        </w:rPr>
      </w:pPr>
    </w:p>
    <w:p w14:paraId="6D4A70BE" w14:textId="77777777" w:rsidR="00A92173" w:rsidRPr="00EF27E3" w:rsidRDefault="00A92173" w:rsidP="00CD03E8">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Acción correctiva</w:t>
      </w:r>
    </w:p>
    <w:p w14:paraId="5BD42374" w14:textId="50DC1790"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La exposición de los empleados a cualquier agente peligroso debe abordarse a tiempo para una respuesta inmediata.</w:t>
      </w:r>
    </w:p>
    <w:p w14:paraId="746111D9"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Para ejecutar una medida de control efectiva, se debe realizar un análisis de causa raíz para analizar los peligros encontrados.</w:t>
      </w:r>
    </w:p>
    <w:p w14:paraId="4AF6A393" w14:textId="77777777" w:rsidR="00A92173" w:rsidRPr="00EF27E3" w:rsidRDefault="00A92173" w:rsidP="00A92173">
      <w:pPr>
        <w:shd w:val="clear" w:color="auto" w:fill="FFFFFF"/>
        <w:spacing w:after="0" w:line="276" w:lineRule="auto"/>
        <w:ind w:left="702"/>
        <w:jc w:val="both"/>
        <w:rPr>
          <w:rFonts w:ascii="Arial" w:hAnsi="Arial" w:cs="Arial"/>
          <w:color w:val="000000"/>
          <w:sz w:val="20"/>
          <w:szCs w:val="20"/>
        </w:rPr>
      </w:pPr>
    </w:p>
    <w:p w14:paraId="72EE0E0C" w14:textId="77777777" w:rsidR="00A92173" w:rsidRPr="00EF27E3" w:rsidRDefault="00A92173" w:rsidP="00CD03E8">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Revisar</w:t>
      </w:r>
    </w:p>
    <w:p w14:paraId="319DE5C9"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Revisión de los resultados de las pruebas realizadas.</w:t>
      </w:r>
    </w:p>
    <w:p w14:paraId="11851A94"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Revisar las sustancias peligrosas que existen en el lugar de trabajo.</w:t>
      </w:r>
    </w:p>
    <w:p w14:paraId="3A5948FA"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Revise los componentes necesarios de su programa de vigilancia médica, incluidos los exámenes y las pruebas.</w:t>
      </w:r>
    </w:p>
    <w:p w14:paraId="60133985" w14:textId="6C9856F4" w:rsidR="00A92173" w:rsidRDefault="00A92173" w:rsidP="00A92173">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Identifique a los empleados que necesitan vigilancia médica y comuníqueles los aspectos clave del programa.</w:t>
      </w:r>
    </w:p>
    <w:p w14:paraId="2B4CC85D" w14:textId="77777777" w:rsidR="00E317D1" w:rsidRPr="00E317D1" w:rsidRDefault="00E317D1" w:rsidP="00E317D1">
      <w:pPr>
        <w:shd w:val="clear" w:color="auto" w:fill="FFFFFF"/>
        <w:spacing w:after="0" w:line="276" w:lineRule="auto"/>
        <w:ind w:left="810"/>
        <w:jc w:val="both"/>
        <w:rPr>
          <w:rFonts w:ascii="Arial" w:hAnsi="Arial" w:cs="Arial"/>
          <w:color w:val="000000"/>
          <w:sz w:val="20"/>
          <w:szCs w:val="20"/>
        </w:rPr>
      </w:pPr>
    </w:p>
    <w:p w14:paraId="2CA2519E" w14:textId="00F537A6" w:rsidR="00A92173" w:rsidRDefault="00A92173" w:rsidP="0009138D">
      <w:pPr>
        <w:pStyle w:val="ListParagraph"/>
        <w:numPr>
          <w:ilvl w:val="0"/>
          <w:numId w:val="8"/>
        </w:numPr>
        <w:spacing w:after="0"/>
        <w:ind w:leftChars="0"/>
        <w:contextualSpacing/>
        <w:jc w:val="both"/>
        <w:rPr>
          <w:sz w:val="20"/>
          <w:szCs w:val="20"/>
        </w:rPr>
      </w:pPr>
      <w:r w:rsidRPr="00EF27E3">
        <w:rPr>
          <w:sz w:val="20"/>
          <w:szCs w:val="20"/>
        </w:rPr>
        <w:t>Historia</w:t>
      </w:r>
    </w:p>
    <w:p w14:paraId="5A649D77" w14:textId="77777777" w:rsidR="00EF27E3" w:rsidRPr="00EF27E3" w:rsidRDefault="00EF27E3" w:rsidP="00EF27E3">
      <w:pPr>
        <w:pStyle w:val="ListParagraph"/>
        <w:spacing w:after="0"/>
        <w:ind w:leftChars="0" w:left="360"/>
        <w:contextualSpacing/>
        <w:jc w:val="both"/>
        <w:rPr>
          <w:sz w:val="20"/>
          <w:szCs w:val="20"/>
        </w:rPr>
      </w:pPr>
    </w:p>
    <w:tbl>
      <w:tblPr>
        <w:tblStyle w:val="TableGrid"/>
        <w:tblW w:w="10350" w:type="dxa"/>
        <w:tblInd w:w="85" w:type="dxa"/>
        <w:tblCellMar>
          <w:left w:w="98" w:type="dxa"/>
          <w:right w:w="115" w:type="dxa"/>
        </w:tblCellMar>
        <w:tblLook w:val="04A0" w:firstRow="1" w:lastRow="0" w:firstColumn="1" w:lastColumn="0" w:noHBand="0" w:noVBand="1"/>
      </w:tblPr>
      <w:tblGrid>
        <w:gridCol w:w="1416"/>
        <w:gridCol w:w="1464"/>
        <w:gridCol w:w="2070"/>
        <w:gridCol w:w="2520"/>
        <w:gridCol w:w="2880"/>
      </w:tblGrid>
      <w:tr w:rsidR="00E317D1" w:rsidRPr="008E0FC2" w14:paraId="64160506" w14:textId="77777777" w:rsidTr="00C06E4A">
        <w:trPr>
          <w:trHeight w:val="509"/>
        </w:trPr>
        <w:tc>
          <w:tcPr>
            <w:tcW w:w="1416" w:type="dxa"/>
            <w:tcBorders>
              <w:top w:val="single" w:sz="4" w:space="0" w:color="000000"/>
              <w:left w:val="single" w:sz="4" w:space="0" w:color="000000"/>
              <w:bottom w:val="single" w:sz="4" w:space="0" w:color="000000"/>
              <w:right w:val="single" w:sz="4" w:space="0" w:color="000000"/>
            </w:tcBorders>
            <w:vAlign w:val="center"/>
          </w:tcPr>
          <w:p w14:paraId="7BF1EF4D" w14:textId="77777777" w:rsidR="00E317D1" w:rsidRPr="008E0FC2" w:rsidRDefault="00E317D1" w:rsidP="00C06E4A">
            <w:pPr>
              <w:spacing w:line="276" w:lineRule="auto"/>
              <w:ind w:left="2"/>
              <w:jc w:val="center"/>
              <w:rPr>
                <w:rFonts w:ascii="Arial" w:hAnsi="Arial" w:cs="Arial"/>
                <w:sz w:val="20"/>
                <w:szCs w:val="20"/>
              </w:rPr>
            </w:pPr>
            <w:r w:rsidRPr="008E0FC2">
              <w:rPr>
                <w:rFonts w:ascii="Arial" w:hAnsi="Arial" w:cs="Arial"/>
                <w:sz w:val="20"/>
                <w:szCs w:val="20"/>
              </w:rPr>
              <w:t>Revisión número.:</w:t>
            </w:r>
          </w:p>
        </w:tc>
        <w:tc>
          <w:tcPr>
            <w:tcW w:w="1464" w:type="dxa"/>
            <w:tcBorders>
              <w:top w:val="single" w:sz="4" w:space="0" w:color="000000"/>
              <w:left w:val="single" w:sz="4" w:space="0" w:color="000000"/>
              <w:bottom w:val="single" w:sz="4" w:space="0" w:color="000000"/>
              <w:right w:val="single" w:sz="4" w:space="0" w:color="000000"/>
            </w:tcBorders>
            <w:vAlign w:val="center"/>
          </w:tcPr>
          <w:p w14:paraId="0B764640" w14:textId="77777777" w:rsidR="00E317D1" w:rsidRPr="008E0FC2" w:rsidRDefault="00E317D1" w:rsidP="00C06E4A">
            <w:pPr>
              <w:spacing w:line="276" w:lineRule="auto"/>
              <w:jc w:val="center"/>
              <w:rPr>
                <w:rFonts w:ascii="Arial" w:hAnsi="Arial" w:cs="Arial"/>
                <w:sz w:val="20"/>
                <w:szCs w:val="20"/>
              </w:rPr>
            </w:pPr>
            <w:r w:rsidRPr="008E0FC2">
              <w:rPr>
                <w:rFonts w:ascii="Arial" w:hAnsi="Arial" w:cs="Arial"/>
                <w:sz w:val="20"/>
                <w:szCs w:val="20"/>
              </w:rPr>
              <w:t>Fecha de revisión:</w:t>
            </w:r>
          </w:p>
        </w:tc>
        <w:tc>
          <w:tcPr>
            <w:tcW w:w="2070" w:type="dxa"/>
            <w:tcBorders>
              <w:top w:val="single" w:sz="4" w:space="0" w:color="000000"/>
              <w:left w:val="single" w:sz="4" w:space="0" w:color="000000"/>
              <w:bottom w:val="single" w:sz="4" w:space="0" w:color="000000"/>
              <w:right w:val="single" w:sz="4" w:space="0" w:color="000000"/>
            </w:tcBorders>
            <w:vAlign w:val="center"/>
          </w:tcPr>
          <w:p w14:paraId="5371C0AB" w14:textId="77777777" w:rsidR="00E317D1" w:rsidRPr="008E0FC2" w:rsidRDefault="00E317D1" w:rsidP="00C06E4A">
            <w:pPr>
              <w:spacing w:line="276" w:lineRule="auto"/>
              <w:ind w:left="2"/>
              <w:jc w:val="center"/>
              <w:rPr>
                <w:rFonts w:ascii="Arial" w:hAnsi="Arial" w:cs="Arial"/>
                <w:sz w:val="20"/>
                <w:szCs w:val="20"/>
              </w:rPr>
            </w:pPr>
            <w:r w:rsidRPr="008E0FC2">
              <w:rPr>
                <w:rFonts w:ascii="Arial" w:hAnsi="Arial" w:cs="Arial"/>
                <w:sz w:val="20"/>
                <w:szCs w:val="20"/>
              </w:rPr>
              <w:t>Descripción de Cambio:</w:t>
            </w:r>
          </w:p>
        </w:tc>
        <w:tc>
          <w:tcPr>
            <w:tcW w:w="2520" w:type="dxa"/>
            <w:tcBorders>
              <w:top w:val="single" w:sz="4" w:space="0" w:color="000000"/>
              <w:left w:val="single" w:sz="4" w:space="0" w:color="000000"/>
              <w:bottom w:val="single" w:sz="4" w:space="0" w:color="000000"/>
              <w:right w:val="single" w:sz="4" w:space="0" w:color="000000"/>
            </w:tcBorders>
            <w:vAlign w:val="center"/>
          </w:tcPr>
          <w:p w14:paraId="4DF93B88" w14:textId="77777777" w:rsidR="00E317D1" w:rsidRDefault="00E317D1" w:rsidP="00C06E4A">
            <w:pPr>
              <w:spacing w:line="276" w:lineRule="auto"/>
              <w:ind w:left="2"/>
              <w:jc w:val="center"/>
              <w:rPr>
                <w:rFonts w:ascii="Arial" w:hAnsi="Arial" w:cs="Arial"/>
                <w:sz w:val="20"/>
                <w:szCs w:val="20"/>
              </w:rPr>
            </w:pPr>
            <w:r w:rsidRPr="008E0FC2">
              <w:rPr>
                <w:rFonts w:ascii="Arial" w:hAnsi="Arial" w:cs="Arial"/>
                <w:sz w:val="20"/>
                <w:szCs w:val="20"/>
              </w:rPr>
              <w:t xml:space="preserve">Autor / </w:t>
            </w:r>
          </w:p>
          <w:p w14:paraId="6D6DC152" w14:textId="77777777" w:rsidR="00E317D1" w:rsidRPr="008E0FC2" w:rsidRDefault="00E317D1" w:rsidP="00C06E4A">
            <w:pPr>
              <w:spacing w:line="276" w:lineRule="auto"/>
              <w:ind w:left="2"/>
              <w:jc w:val="center"/>
              <w:rPr>
                <w:rFonts w:ascii="Arial" w:hAnsi="Arial" w:cs="Arial"/>
                <w:sz w:val="20"/>
                <w:szCs w:val="20"/>
              </w:rPr>
            </w:pPr>
            <w:r w:rsidRPr="008E0FC2">
              <w:rPr>
                <w:rFonts w:ascii="Arial" w:hAnsi="Arial" w:cs="Arial"/>
                <w:sz w:val="20"/>
                <w:szCs w:val="20"/>
              </w:rPr>
              <w:t>Autor Nombre:</w:t>
            </w:r>
          </w:p>
        </w:tc>
        <w:tc>
          <w:tcPr>
            <w:tcW w:w="2880" w:type="dxa"/>
            <w:tcBorders>
              <w:top w:val="single" w:sz="4" w:space="0" w:color="000000"/>
              <w:left w:val="single" w:sz="4" w:space="0" w:color="000000"/>
              <w:bottom w:val="single" w:sz="4" w:space="0" w:color="000000"/>
              <w:right w:val="single" w:sz="4" w:space="0" w:color="000000"/>
            </w:tcBorders>
            <w:vAlign w:val="center"/>
          </w:tcPr>
          <w:p w14:paraId="269E5CBA" w14:textId="77777777" w:rsidR="00E317D1" w:rsidRDefault="00E317D1" w:rsidP="00C06E4A">
            <w:pPr>
              <w:spacing w:line="276" w:lineRule="auto"/>
              <w:ind w:left="2"/>
              <w:jc w:val="center"/>
              <w:rPr>
                <w:rFonts w:ascii="Arial" w:hAnsi="Arial" w:cs="Arial"/>
                <w:sz w:val="20"/>
                <w:szCs w:val="20"/>
              </w:rPr>
            </w:pPr>
            <w:r w:rsidRPr="008E0FC2">
              <w:rPr>
                <w:rFonts w:ascii="Arial" w:hAnsi="Arial" w:cs="Arial"/>
                <w:sz w:val="20"/>
                <w:szCs w:val="20"/>
              </w:rPr>
              <w:t xml:space="preserve">Título / </w:t>
            </w:r>
          </w:p>
          <w:p w14:paraId="245821D1" w14:textId="77777777" w:rsidR="00E317D1" w:rsidRPr="008E0FC2" w:rsidRDefault="00E317D1" w:rsidP="00C06E4A">
            <w:pPr>
              <w:spacing w:line="276" w:lineRule="auto"/>
              <w:ind w:left="2"/>
              <w:jc w:val="center"/>
              <w:rPr>
                <w:rFonts w:ascii="Arial" w:hAnsi="Arial" w:cs="Arial"/>
                <w:sz w:val="20"/>
                <w:szCs w:val="20"/>
              </w:rPr>
            </w:pPr>
            <w:r w:rsidRPr="008E0FC2">
              <w:rPr>
                <w:rFonts w:ascii="Arial" w:hAnsi="Arial" w:cs="Arial"/>
                <w:sz w:val="20"/>
                <w:szCs w:val="20"/>
              </w:rPr>
              <w:t>Departamento:</w:t>
            </w:r>
          </w:p>
        </w:tc>
      </w:tr>
      <w:tr w:rsidR="00E317D1" w:rsidRPr="008E0FC2" w14:paraId="7B4639B5" w14:textId="77777777" w:rsidTr="00C06E4A">
        <w:trPr>
          <w:trHeight w:val="647"/>
        </w:trPr>
        <w:tc>
          <w:tcPr>
            <w:tcW w:w="1416" w:type="dxa"/>
            <w:tcBorders>
              <w:top w:val="single" w:sz="4" w:space="0" w:color="000000"/>
              <w:left w:val="single" w:sz="4" w:space="0" w:color="000000"/>
              <w:bottom w:val="single" w:sz="4" w:space="0" w:color="000000"/>
              <w:right w:val="single" w:sz="4" w:space="0" w:color="000000"/>
            </w:tcBorders>
            <w:vAlign w:val="center"/>
          </w:tcPr>
          <w:p w14:paraId="3BCB9690" w14:textId="77777777" w:rsidR="00E317D1" w:rsidRPr="008E0FC2" w:rsidRDefault="00E317D1" w:rsidP="00C06E4A">
            <w:pPr>
              <w:spacing w:line="276" w:lineRule="auto"/>
              <w:ind w:left="2"/>
              <w:jc w:val="center"/>
              <w:rPr>
                <w:rFonts w:ascii="Arial" w:hAnsi="Arial" w:cs="Arial"/>
                <w:sz w:val="20"/>
                <w:szCs w:val="20"/>
              </w:rPr>
            </w:pPr>
            <w:r w:rsidRPr="008E0FC2">
              <w:rPr>
                <w:rFonts w:ascii="Arial" w:hAnsi="Arial" w:cs="Arial"/>
                <w:sz w:val="20"/>
                <w:szCs w:val="20"/>
              </w:rPr>
              <w:t>0</w:t>
            </w:r>
          </w:p>
        </w:tc>
        <w:tc>
          <w:tcPr>
            <w:tcW w:w="1464" w:type="dxa"/>
            <w:tcBorders>
              <w:top w:val="single" w:sz="4" w:space="0" w:color="000000"/>
              <w:left w:val="single" w:sz="4" w:space="0" w:color="000000"/>
              <w:bottom w:val="single" w:sz="4" w:space="0" w:color="000000"/>
              <w:right w:val="single" w:sz="4" w:space="0" w:color="000000"/>
            </w:tcBorders>
            <w:vAlign w:val="center"/>
          </w:tcPr>
          <w:p w14:paraId="0C5BF4EC" w14:textId="5BC87EE3" w:rsidR="00E317D1" w:rsidRPr="008E0FC2" w:rsidRDefault="00ED29CF" w:rsidP="00C06E4A">
            <w:pPr>
              <w:spacing w:line="276" w:lineRule="auto"/>
              <w:jc w:val="center"/>
              <w:rPr>
                <w:rFonts w:ascii="Arial" w:hAnsi="Arial" w:cs="Arial"/>
                <w:sz w:val="20"/>
                <w:szCs w:val="20"/>
              </w:rPr>
            </w:pPr>
            <w:r w:rsidRPr="00ED29CF">
              <w:rPr>
                <w:rFonts w:ascii="Arial" w:hAnsi="Arial" w:cs="Arial"/>
                <w:sz w:val="20"/>
                <w:szCs w:val="20"/>
                <w:highlight w:val="yellow"/>
              </w:rPr>
              <w:t>Ingrese la fecha de revisión aquí</w:t>
            </w:r>
          </w:p>
        </w:tc>
        <w:tc>
          <w:tcPr>
            <w:tcW w:w="2070" w:type="dxa"/>
            <w:tcBorders>
              <w:top w:val="single" w:sz="4" w:space="0" w:color="000000"/>
              <w:left w:val="single" w:sz="4" w:space="0" w:color="000000"/>
              <w:bottom w:val="single" w:sz="4" w:space="0" w:color="000000"/>
              <w:right w:val="single" w:sz="4" w:space="0" w:color="000000"/>
            </w:tcBorders>
            <w:vAlign w:val="center"/>
          </w:tcPr>
          <w:p w14:paraId="3ECFB6B6" w14:textId="121854CE" w:rsidR="00E317D1" w:rsidRPr="008E0FC2" w:rsidRDefault="00373601" w:rsidP="00C06E4A">
            <w:pPr>
              <w:spacing w:line="276" w:lineRule="auto"/>
              <w:ind w:left="2"/>
              <w:jc w:val="center"/>
              <w:rPr>
                <w:rFonts w:ascii="Arial" w:hAnsi="Arial" w:cs="Arial"/>
                <w:sz w:val="20"/>
                <w:szCs w:val="20"/>
              </w:rPr>
            </w:pPr>
            <w:r w:rsidRPr="00373601">
              <w:rPr>
                <w:rFonts w:ascii="Arial" w:hAnsi="Arial" w:cs="Arial"/>
                <w:sz w:val="20"/>
                <w:szCs w:val="20"/>
                <w:highlight w:val="yellow"/>
              </w:rPr>
              <w:t>Ingrese la descripción del cambio aquí</w:t>
            </w:r>
          </w:p>
        </w:tc>
        <w:tc>
          <w:tcPr>
            <w:tcW w:w="2520" w:type="dxa"/>
            <w:tcBorders>
              <w:top w:val="single" w:sz="4" w:space="0" w:color="000000"/>
              <w:left w:val="single" w:sz="4" w:space="0" w:color="000000"/>
              <w:bottom w:val="single" w:sz="4" w:space="0" w:color="000000"/>
              <w:right w:val="single" w:sz="4" w:space="0" w:color="000000"/>
            </w:tcBorders>
            <w:vAlign w:val="center"/>
          </w:tcPr>
          <w:p w14:paraId="41A127B4" w14:textId="278227AB" w:rsidR="00E317D1" w:rsidRPr="00297A03" w:rsidRDefault="00ED29CF" w:rsidP="00C06E4A">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INGRESE EL NOMBRE DEL AUTOR</w:t>
            </w:r>
          </w:p>
        </w:tc>
        <w:tc>
          <w:tcPr>
            <w:tcW w:w="2880" w:type="dxa"/>
            <w:tcBorders>
              <w:top w:val="single" w:sz="4" w:space="0" w:color="000000"/>
              <w:left w:val="single" w:sz="4" w:space="0" w:color="000000"/>
              <w:bottom w:val="single" w:sz="4" w:space="0" w:color="000000"/>
              <w:right w:val="single" w:sz="4" w:space="0" w:color="000000"/>
            </w:tcBorders>
            <w:vAlign w:val="center"/>
          </w:tcPr>
          <w:p w14:paraId="5E7CF816" w14:textId="660CEF17" w:rsidR="00E317D1" w:rsidRPr="00ED29CF" w:rsidRDefault="00ED29CF" w:rsidP="00C06E4A">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INGRESAR TÍTULO / INGRESAR DEPARTAMENTO</w:t>
            </w:r>
          </w:p>
        </w:tc>
      </w:tr>
    </w:tbl>
    <w:p w14:paraId="775DF801" w14:textId="77777777" w:rsidR="00CD03E8" w:rsidRPr="00177E95" w:rsidRDefault="00CD03E8" w:rsidP="00177E95">
      <w:pPr>
        <w:spacing w:after="0"/>
        <w:jc w:val="both"/>
        <w:rPr>
          <w:sz w:val="20"/>
          <w:szCs w:val="20"/>
        </w:rPr>
      </w:pPr>
    </w:p>
    <w:p w14:paraId="7EEEAB6D" w14:textId="24C62D9E" w:rsidR="00A92173" w:rsidRPr="00EF27E3" w:rsidRDefault="00A92173" w:rsidP="00177E95">
      <w:pPr>
        <w:tabs>
          <w:tab w:val="left" w:pos="6015"/>
        </w:tabs>
        <w:spacing w:after="0" w:line="276" w:lineRule="auto"/>
        <w:jc w:val="both"/>
        <w:rPr>
          <w:rFonts w:ascii="Arial" w:hAnsi="Arial" w:cs="Arial"/>
          <w:sz w:val="20"/>
          <w:szCs w:val="20"/>
        </w:rPr>
      </w:pPr>
      <w:bookmarkStart w:id="0" w:name="_Hlk95463753"/>
      <w:bookmarkStart w:id="1" w:name="_Hlk102354716"/>
      <w:r w:rsidRPr="00EF27E3">
        <w:rPr>
          <w:rFonts w:ascii="Arial" w:hAnsi="Arial" w:cs="Arial"/>
          <w:b/>
          <w:sz w:val="16"/>
        </w:rPr>
        <w:t>Requisitos:</w:t>
      </w:r>
    </w:p>
    <w:bookmarkEnd w:id="0"/>
    <w:p w14:paraId="2533661E" w14:textId="77777777" w:rsidR="00A92173" w:rsidRPr="00EF27E3" w:rsidRDefault="00A92173" w:rsidP="00CD03E8">
      <w:pPr>
        <w:numPr>
          <w:ilvl w:val="0"/>
          <w:numId w:val="9"/>
        </w:numPr>
        <w:spacing w:after="1" w:line="276" w:lineRule="auto"/>
        <w:ind w:hanging="345"/>
        <w:jc w:val="both"/>
        <w:rPr>
          <w:rFonts w:ascii="Arial" w:hAnsi="Arial" w:cs="Arial"/>
        </w:rPr>
      </w:pPr>
      <w:r w:rsidRPr="00EF27E3">
        <w:rPr>
          <w:rFonts w:ascii="Arial" w:hAnsi="Arial" w:cs="Arial"/>
          <w:sz w:val="16"/>
        </w:rPr>
        <w:t>El aprendiz ha leído o recibido una traducción verbal de la totalidad o parte de la política, el procedimiento, el método o el SOP para el cual está siendo capacitado.</w:t>
      </w:r>
    </w:p>
    <w:p w14:paraId="3FE14791" w14:textId="77777777" w:rsidR="00A92173" w:rsidRPr="00EF27E3" w:rsidRDefault="00A92173" w:rsidP="00CD03E8">
      <w:pPr>
        <w:numPr>
          <w:ilvl w:val="0"/>
          <w:numId w:val="9"/>
        </w:numPr>
        <w:spacing w:after="1" w:line="276" w:lineRule="auto"/>
        <w:ind w:hanging="345"/>
        <w:jc w:val="both"/>
        <w:rPr>
          <w:rFonts w:ascii="Arial" w:hAnsi="Arial" w:cs="Arial"/>
        </w:rPr>
      </w:pPr>
      <w:r w:rsidRPr="00EF27E3">
        <w:rPr>
          <w:rFonts w:ascii="Arial" w:hAnsi="Arial" w:cs="Arial"/>
          <w:sz w:val="16"/>
        </w:rPr>
        <w:t>El alumno ha demostrado la tarea que debe realizar o el procedimiento para el que está siendo capacitado según se requiera.</w:t>
      </w:r>
    </w:p>
    <w:p w14:paraId="40836822" w14:textId="77777777" w:rsidR="00A92173" w:rsidRPr="00EF27E3" w:rsidRDefault="00A92173" w:rsidP="00CD03E8">
      <w:pPr>
        <w:numPr>
          <w:ilvl w:val="0"/>
          <w:numId w:val="9"/>
        </w:numPr>
        <w:spacing w:after="0" w:line="276" w:lineRule="auto"/>
        <w:ind w:hanging="345"/>
        <w:jc w:val="both"/>
        <w:rPr>
          <w:rFonts w:ascii="Arial" w:hAnsi="Arial" w:cs="Arial"/>
        </w:rPr>
      </w:pPr>
      <w:r w:rsidRPr="00EF27E3">
        <w:rPr>
          <w:rFonts w:ascii="Arial" w:hAnsi="Arial" w:cs="Arial"/>
          <w:sz w:val="16"/>
        </w:rPr>
        <w:t>El aprendiz ha demostrado la capacidad de realizar la tarea con competencia aceptable y con la supervisión mínima requerida.</w:t>
      </w:r>
    </w:p>
    <w:bookmarkEnd w:id="1"/>
    <w:p w14:paraId="3AB1326A" w14:textId="12BCC9F4" w:rsidR="00E317D1" w:rsidRPr="00E317D1" w:rsidRDefault="00A92173" w:rsidP="00ED29CF">
      <w:pPr>
        <w:spacing w:after="21" w:line="276" w:lineRule="auto"/>
        <w:jc w:val="both"/>
        <w:rPr>
          <w:i/>
          <w:color w:val="0563C1" w:themeColor="hyperlink"/>
          <w:sz w:val="18"/>
          <w:szCs w:val="18"/>
          <w:u w:val="single"/>
        </w:rPr>
      </w:pPr>
      <w:r w:rsidRPr="00EF27E3">
        <w:rPr>
          <w:rFonts w:ascii="Arial" w:hAnsi="Arial" w:cs="Arial"/>
          <w:sz w:val="16"/>
        </w:rPr>
        <w:t xml:space="preserve"> </w:t>
      </w:r>
      <w:r w:rsidRPr="00EF27E3">
        <w:rPr>
          <w:rFonts w:ascii="Arial" w:hAnsi="Arial" w:cs="Arial"/>
          <w:sz w:val="20"/>
        </w:rPr>
        <w:t xml:space="preserve"> </w:t>
      </w:r>
    </w:p>
    <w:p w14:paraId="2949552C" w14:textId="748A503A" w:rsidR="00EA19A4" w:rsidRDefault="00EA19A4" w:rsidP="00EA19A4">
      <w:pPr>
        <w:spacing w:after="0" w:line="276" w:lineRule="auto"/>
        <w:jc w:val="center"/>
        <w:rPr>
          <w:rFonts w:ascii="Arial" w:hAnsi="Arial" w:cs="Arial"/>
          <w:b/>
          <w:bCs/>
          <w:i/>
          <w:iCs/>
          <w:sz w:val="18"/>
          <w:szCs w:val="18"/>
        </w:rPr>
      </w:pPr>
    </w:p>
    <w:p w14:paraId="7934AD57" w14:textId="77777777" w:rsidR="00ED29CF" w:rsidRPr="00E317D1" w:rsidRDefault="00ED29CF" w:rsidP="00EA19A4">
      <w:pPr>
        <w:spacing w:after="0" w:line="276" w:lineRule="auto"/>
        <w:jc w:val="center"/>
        <w:rPr>
          <w:rFonts w:ascii="Arial" w:hAnsi="Arial" w:cs="Arial"/>
          <w:b/>
          <w:bCs/>
          <w:i/>
          <w:iCs/>
          <w:sz w:val="18"/>
          <w:szCs w:val="18"/>
        </w:rPr>
      </w:pPr>
    </w:p>
    <w:p w14:paraId="425AC0EC" w14:textId="5960E050" w:rsidR="00EF27E3" w:rsidRPr="00ED29CF" w:rsidRDefault="00ED29CF" w:rsidP="00EA19A4">
      <w:pPr>
        <w:spacing w:after="0" w:line="276" w:lineRule="auto"/>
        <w:jc w:val="center"/>
        <w:rPr>
          <w:rFonts w:ascii="Arial" w:hAnsi="Arial" w:cs="Arial"/>
          <w:i/>
          <w:iCs/>
          <w:sz w:val="18"/>
          <w:szCs w:val="18"/>
        </w:rPr>
      </w:pPr>
      <w:r w:rsidRPr="00ED29CF">
        <w:rPr>
          <w:rFonts w:ascii="Arial" w:hAnsi="Arial" w:cs="Arial"/>
          <w:i/>
          <w:iCs/>
          <w:sz w:val="18"/>
          <w:szCs w:val="18"/>
          <w:highlight w:val="yellow"/>
        </w:rPr>
        <w:t>*Si necesita ayuda para personalizar este documento, envíe un correo electrónico a services@consultareinc.com</w:t>
      </w:r>
    </w:p>
    <w:p w14:paraId="3B23816C" w14:textId="265BC2B5" w:rsidR="00A92173" w:rsidRPr="00EA19A4" w:rsidRDefault="00A92173" w:rsidP="00EA19A4">
      <w:pPr>
        <w:spacing w:after="16" w:line="276" w:lineRule="auto"/>
        <w:jc w:val="both"/>
        <w:rPr>
          <w:rFonts w:ascii="Arial" w:hAnsi="Arial" w:cs="Arial"/>
        </w:rPr>
      </w:pPr>
    </w:p>
    <w:p w14:paraId="7B17765B" w14:textId="77777777" w:rsidR="00A92173" w:rsidRPr="00A92173" w:rsidRDefault="00A92173" w:rsidP="00A92173">
      <w:pPr>
        <w:spacing w:line="276" w:lineRule="auto"/>
        <w:jc w:val="both"/>
        <w:rPr>
          <w:rFonts w:ascii="Arial" w:hAnsi="Arial" w:cs="Arial"/>
          <w:sz w:val="20"/>
          <w:szCs w:val="20"/>
        </w:rPr>
      </w:pPr>
    </w:p>
    <w:sectPr w:rsidR="00A92173" w:rsidRPr="00A92173" w:rsidSect="00A92173">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6E184" w14:textId="77777777" w:rsidR="000D665F" w:rsidRDefault="000D665F" w:rsidP="00A92173">
      <w:pPr>
        <w:spacing w:after="0" w:line="240" w:lineRule="auto"/>
      </w:pPr>
      <w:r>
        <w:separator/>
      </w:r>
    </w:p>
  </w:endnote>
  <w:endnote w:type="continuationSeparator" w:id="0">
    <w:p w14:paraId="05AB0843" w14:textId="77777777" w:rsidR="000D665F" w:rsidRDefault="000D665F" w:rsidP="00A9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592"/>
      <w:gridCol w:w="4410"/>
      <w:gridCol w:w="3126"/>
    </w:tblGrid>
    <w:tr w:rsidR="00E317D1" w:rsidRPr="00DA71F3" w14:paraId="1CA7A358" w14:textId="77777777" w:rsidTr="00ED29CF">
      <w:trPr>
        <w:trHeight w:val="305"/>
      </w:trPr>
      <w:tc>
        <w:tcPr>
          <w:tcW w:w="2592" w:type="dxa"/>
          <w:shd w:val="clear" w:color="auto" w:fill="auto"/>
        </w:tcPr>
        <w:p w14:paraId="2E27E04A" w14:textId="0C188114" w:rsidR="00E317D1" w:rsidRPr="00DA71F3" w:rsidRDefault="00ED29CF" w:rsidP="00E317D1">
          <w:pPr>
            <w:pStyle w:val="NoSpacing"/>
            <w:rPr>
              <w:rFonts w:ascii="Arial" w:hAnsi="Arial" w:cs="Arial"/>
              <w:sz w:val="18"/>
              <w:szCs w:val="18"/>
            </w:rPr>
          </w:pPr>
          <w:r w:rsidRPr="00ED29CF">
            <w:rPr>
              <w:rFonts w:ascii="Arial" w:hAnsi="Arial" w:cs="Arial"/>
              <w:sz w:val="18"/>
              <w:szCs w:val="18"/>
              <w:highlight w:val="yellow"/>
            </w:rPr>
            <w:t>Ingrese la fecha de revisión aquí</w:t>
          </w:r>
        </w:p>
      </w:tc>
      <w:tc>
        <w:tcPr>
          <w:tcW w:w="4410" w:type="dxa"/>
          <w:shd w:val="clear" w:color="auto" w:fill="auto"/>
        </w:tcPr>
        <w:p w14:paraId="7C53D7DC" w14:textId="77777777" w:rsidR="00ED29CF" w:rsidRPr="00ED29CF" w:rsidRDefault="00ED29CF" w:rsidP="002A5A02">
          <w:pPr>
            <w:pStyle w:val="NoSpacing"/>
            <w:jc w:val="center"/>
            <w:rPr>
              <w:rFonts w:ascii="Arial" w:hAnsi="Arial" w:cs="Arial"/>
              <w:b/>
              <w:bCs/>
              <w:sz w:val="18"/>
              <w:szCs w:val="18"/>
              <w:highlight w:val="yellow"/>
            </w:rPr>
          </w:pPr>
          <w:r w:rsidRPr="00ED29CF">
            <w:rPr>
              <w:rFonts w:ascii="Arial" w:hAnsi="Arial" w:cs="Arial"/>
              <w:b/>
              <w:bCs/>
              <w:sz w:val="18"/>
              <w:szCs w:val="18"/>
              <w:highlight w:val="yellow"/>
            </w:rPr>
            <w:t>INGRESE EL NOMBRE DE LA EMPRESA AQUÍ</w:t>
          </w:r>
        </w:p>
        <w:p w14:paraId="4D0FE78D" w14:textId="2D879D5D" w:rsidR="00E317D1" w:rsidRPr="00C10DEC" w:rsidRDefault="00ED29CF" w:rsidP="002A5A02">
          <w:pPr>
            <w:pStyle w:val="NoSpacing"/>
            <w:jc w:val="center"/>
            <w:rPr>
              <w:rFonts w:ascii="Arial" w:hAnsi="Arial" w:cs="Arial"/>
              <w:sz w:val="18"/>
              <w:szCs w:val="18"/>
            </w:rPr>
          </w:pPr>
          <w:r w:rsidRPr="00ED29CF">
            <w:rPr>
              <w:rFonts w:ascii="Arial" w:hAnsi="Arial" w:cs="Arial"/>
              <w:sz w:val="18"/>
              <w:szCs w:val="18"/>
              <w:highlight w:val="yellow"/>
            </w:rPr>
            <w:t>Ingrese la DIRECCIÓN DE LA INSTALACIÓN AQUÍ</w:t>
          </w:r>
        </w:p>
      </w:tc>
      <w:tc>
        <w:tcPr>
          <w:tcW w:w="3126" w:type="dxa"/>
          <w:shd w:val="clear" w:color="auto" w:fill="auto"/>
        </w:tcPr>
        <w:p w14:paraId="7632F9D7" w14:textId="062438FD" w:rsidR="00E317D1" w:rsidRPr="00ED29CF" w:rsidRDefault="00ED29CF" w:rsidP="00F92B6E">
          <w:pPr>
            <w:pStyle w:val="NoSpacing"/>
            <w:ind w:left="-285"/>
            <w:jc w:val="right"/>
            <w:rPr>
              <w:rFonts w:ascii="Arial" w:hAnsi="Arial" w:cs="Arial"/>
              <w:sz w:val="18"/>
              <w:szCs w:val="18"/>
              <w:highlight w:val="yellow"/>
            </w:rPr>
          </w:pPr>
          <w:r w:rsidRPr="00ED29CF">
            <w:rPr>
              <w:rFonts w:ascii="Arial" w:hAnsi="Arial" w:cs="Arial"/>
              <w:sz w:val="18"/>
              <w:szCs w:val="18"/>
              <w:highlight w:val="yellow"/>
            </w:rPr>
            <w:t>Ingrese el número de control de doc. aquí</w:t>
          </w:r>
        </w:p>
      </w:tc>
    </w:tr>
  </w:tbl>
  <w:p w14:paraId="6F12BF95" w14:textId="77777777" w:rsidR="00A92173" w:rsidRDefault="00A92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D4A25" w14:textId="77777777" w:rsidR="000D665F" w:rsidRDefault="000D665F" w:rsidP="00A92173">
      <w:pPr>
        <w:spacing w:after="0" w:line="240" w:lineRule="auto"/>
      </w:pPr>
      <w:r>
        <w:separator/>
      </w:r>
    </w:p>
  </w:footnote>
  <w:footnote w:type="continuationSeparator" w:id="0">
    <w:p w14:paraId="3949E318" w14:textId="77777777" w:rsidR="000D665F" w:rsidRDefault="000D665F" w:rsidP="00A9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39E41" w14:textId="133490BF" w:rsidR="00A92173" w:rsidRDefault="00A92173">
    <w:pPr>
      <w:pStyle w:val="Header"/>
      <w:rPr>
        <w:noProof/>
      </w:rPr>
    </w:pPr>
  </w:p>
  <w:p w14:paraId="62A1BCF0" w14:textId="1E76188E" w:rsidR="00E317D1" w:rsidRDefault="00E317D1">
    <w:pPr>
      <w:pStyle w:val="Header"/>
      <w:rPr>
        <w:noProof/>
      </w:rPr>
    </w:pPr>
  </w:p>
  <w:p w14:paraId="3398D468" w14:textId="4776E2DB" w:rsidR="00E317D1" w:rsidRDefault="00ED29CF" w:rsidP="00ED29CF">
    <w:pPr>
      <w:pStyle w:val="Header"/>
      <w:jc w:val="center"/>
      <w:rPr>
        <w:rFonts w:ascii="Arial" w:hAnsi="Arial" w:cs="Arial"/>
        <w:b/>
        <w:bCs/>
        <w:sz w:val="20"/>
        <w:szCs w:val="20"/>
      </w:rPr>
    </w:pPr>
    <w:r w:rsidRPr="00ED29CF">
      <w:rPr>
        <w:rFonts w:ascii="Arial" w:hAnsi="Arial" w:cs="Arial"/>
        <w:b/>
        <w:bCs/>
        <w:sz w:val="20"/>
        <w:szCs w:val="20"/>
        <w:highlight w:val="yellow"/>
      </w:rPr>
      <w:t>Pegue el logotipo de su empresa aprobada aquí</w:t>
    </w:r>
  </w:p>
  <w:p w14:paraId="36E9D429" w14:textId="2B66546C" w:rsidR="00ED29CF" w:rsidRPr="00ED29CF" w:rsidRDefault="00ED29CF" w:rsidP="00ED29CF">
    <w:pPr>
      <w:pStyle w:val="Header"/>
      <w:jc w:val="center"/>
      <w:rPr>
        <w:rFonts w:ascii="Arial" w:hAnsi="Arial" w:cs="Arial"/>
        <w:b/>
        <w:bCs/>
        <w:sz w:val="20"/>
        <w:szCs w:val="20"/>
      </w:rPr>
    </w:pPr>
    <w:r w:rsidRPr="00ED29CF">
      <w:rPr>
        <w:rFonts w:ascii="Arial" w:hAnsi="Arial" w:cs="Arial"/>
        <w:b/>
        <w:bCs/>
        <w:sz w:val="20"/>
        <w:szCs w:val="20"/>
        <w:highlight w:val="red"/>
      </w:rPr>
      <w:t>Nota: este documento debe personalizarse para su uso previsto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40F5DC8"/>
    <w:multiLevelType w:val="multilevel"/>
    <w:tmpl w:val="F596448A"/>
    <w:lvl w:ilvl="0">
      <w:start w:val="4"/>
      <w:numFmt w:val="decimal"/>
      <w:lvlText w:val="%1."/>
      <w:lvlJc w:val="left"/>
      <w:pPr>
        <w:ind w:left="504" w:hanging="504"/>
      </w:pPr>
      <w:rPr>
        <w:rFonts w:hint="default"/>
      </w:rPr>
    </w:lvl>
    <w:lvl w:ilvl="1">
      <w:start w:val="1"/>
      <w:numFmt w:val="decimal"/>
      <w:lvlText w:val="%1.%2."/>
      <w:lvlJc w:val="left"/>
      <w:pPr>
        <w:ind w:left="1116" w:hanging="504"/>
      </w:pPr>
      <w:rPr>
        <w:rFonts w:hint="default"/>
      </w:rPr>
    </w:lvl>
    <w:lvl w:ilvl="2">
      <w:start w:val="4"/>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4AE11D5"/>
    <w:multiLevelType w:val="multilevel"/>
    <w:tmpl w:val="31B2E92E"/>
    <w:lvl w:ilvl="0">
      <w:start w:val="4"/>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D337F6"/>
    <w:multiLevelType w:val="multilevel"/>
    <w:tmpl w:val="3B50DCF2"/>
    <w:lvl w:ilvl="0">
      <w:start w:val="4"/>
      <w:numFmt w:val="decimal"/>
      <w:lvlText w:val="%1."/>
      <w:lvlJc w:val="left"/>
      <w:pPr>
        <w:ind w:left="504" w:hanging="504"/>
      </w:pPr>
      <w:rPr>
        <w:rFonts w:hint="default"/>
      </w:rPr>
    </w:lvl>
    <w:lvl w:ilvl="1">
      <w:start w:val="2"/>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D2C3711"/>
    <w:multiLevelType w:val="multilevel"/>
    <w:tmpl w:val="6FFEFE8E"/>
    <w:lvl w:ilvl="0">
      <w:start w:val="41"/>
      <w:numFmt w:val="decimal"/>
      <w:lvlText w:val="%1."/>
      <w:lvlJc w:val="left"/>
      <w:pPr>
        <w:ind w:left="780" w:hanging="780"/>
      </w:pPr>
      <w:rPr>
        <w:rFonts w:hint="default"/>
      </w:rPr>
    </w:lvl>
    <w:lvl w:ilvl="1">
      <w:start w:val="1"/>
      <w:numFmt w:val="decimal"/>
      <w:lvlText w:val="%1.%2."/>
      <w:lvlJc w:val="left"/>
      <w:pPr>
        <w:ind w:left="1440" w:hanging="780"/>
      </w:pPr>
      <w:rPr>
        <w:rFonts w:hint="default"/>
      </w:rPr>
    </w:lvl>
    <w:lvl w:ilvl="2">
      <w:start w:val="2"/>
      <w:numFmt w:val="decimal"/>
      <w:lvlText w:val="%1.%2.%3."/>
      <w:lvlJc w:val="left"/>
      <w:pPr>
        <w:ind w:left="2100" w:hanging="780"/>
      </w:pPr>
      <w:rPr>
        <w:rFonts w:hint="default"/>
      </w:rPr>
    </w:lvl>
    <w:lvl w:ilvl="3">
      <w:start w:val="1"/>
      <w:numFmt w:val="decimal"/>
      <w:lvlText w:val="%1.%2.%3.%4."/>
      <w:lvlJc w:val="left"/>
      <w:pPr>
        <w:ind w:left="2760" w:hanging="7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6" w15:restartNumberingAfterBreak="0">
    <w:nsid w:val="38D033A9"/>
    <w:multiLevelType w:val="multilevel"/>
    <w:tmpl w:val="60AAF096"/>
    <w:lvl w:ilvl="0">
      <w:start w:val="1"/>
      <w:numFmt w:val="decimal"/>
      <w:lvlText w:val="%1."/>
      <w:lvlJc w:val="left"/>
      <w:pPr>
        <w:ind w:left="360" w:hanging="360"/>
      </w:pPr>
    </w:lvl>
    <w:lvl w:ilvl="1">
      <w:start w:val="1"/>
      <w:numFmt w:val="decimal"/>
      <w:lvlText w:val="%1.%2."/>
      <w:lvlJc w:val="left"/>
      <w:pPr>
        <w:ind w:left="702" w:hanging="432"/>
      </w:pPr>
      <w:rPr>
        <w:b w:val="0"/>
        <w:bCs/>
        <w:sz w:val="20"/>
        <w:szCs w:val="20"/>
      </w:rPr>
    </w:lvl>
    <w:lvl w:ilvl="2">
      <w:start w:val="1"/>
      <w:numFmt w:val="decimal"/>
      <w:lvlText w:val="%1.%2.%3."/>
      <w:lvlJc w:val="left"/>
      <w:pPr>
        <w:ind w:left="1224" w:hanging="504"/>
      </w:pPr>
      <w:rPr>
        <w:i w:val="0"/>
        <w:i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656723"/>
    <w:multiLevelType w:val="multilevel"/>
    <w:tmpl w:val="31B2E92E"/>
    <w:lvl w:ilvl="0">
      <w:start w:val="4"/>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76FE4CB3"/>
    <w:multiLevelType w:val="multilevel"/>
    <w:tmpl w:val="7494BFA0"/>
    <w:lvl w:ilvl="0">
      <w:start w:val="5"/>
      <w:numFmt w:val="decimal"/>
      <w:lvlText w:val="%1."/>
      <w:lvlJc w:val="left"/>
      <w:pPr>
        <w:ind w:left="504" w:hanging="504"/>
      </w:pPr>
      <w:rPr>
        <w:rFonts w:hint="default"/>
      </w:rPr>
    </w:lvl>
    <w:lvl w:ilvl="1">
      <w:start w:val="2"/>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6063288">
    <w:abstractNumId w:val="6"/>
  </w:num>
  <w:num w:numId="2" w16cid:durableId="1002273210">
    <w:abstractNumId w:val="5"/>
  </w:num>
  <w:num w:numId="3" w16cid:durableId="641152220">
    <w:abstractNumId w:val="1"/>
  </w:num>
  <w:num w:numId="4" w16cid:durableId="1916084062">
    <w:abstractNumId w:val="4"/>
  </w:num>
  <w:num w:numId="5" w16cid:durableId="805465752">
    <w:abstractNumId w:val="3"/>
  </w:num>
  <w:num w:numId="6" w16cid:durableId="1144197060">
    <w:abstractNumId w:val="9"/>
  </w:num>
  <w:num w:numId="7" w16cid:durableId="929392216">
    <w:abstractNumId w:val="7"/>
  </w:num>
  <w:num w:numId="8" w16cid:durableId="572082385">
    <w:abstractNumId w:val="2"/>
  </w:num>
  <w:num w:numId="9" w16cid:durableId="1468086489">
    <w:abstractNumId w:val="0"/>
  </w:num>
  <w:num w:numId="10" w16cid:durableId="1426196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c1trA0MTAwsrBU0lEKTi0uzszPAykwrAUAF+5ekCwAAAA="/>
  </w:docVars>
  <w:rsids>
    <w:rsidRoot w:val="00A92173"/>
    <w:rsid w:val="0004701B"/>
    <w:rsid w:val="0009138D"/>
    <w:rsid w:val="000D665F"/>
    <w:rsid w:val="0014357B"/>
    <w:rsid w:val="00177E95"/>
    <w:rsid w:val="001B1134"/>
    <w:rsid w:val="001B1838"/>
    <w:rsid w:val="002A5A02"/>
    <w:rsid w:val="00373601"/>
    <w:rsid w:val="00374D16"/>
    <w:rsid w:val="003F56EA"/>
    <w:rsid w:val="004B4152"/>
    <w:rsid w:val="005714D4"/>
    <w:rsid w:val="005D4147"/>
    <w:rsid w:val="00685394"/>
    <w:rsid w:val="007B42E8"/>
    <w:rsid w:val="00856290"/>
    <w:rsid w:val="008E64D8"/>
    <w:rsid w:val="008E7772"/>
    <w:rsid w:val="009E098C"/>
    <w:rsid w:val="00A62678"/>
    <w:rsid w:val="00A92173"/>
    <w:rsid w:val="00B03C1F"/>
    <w:rsid w:val="00C77146"/>
    <w:rsid w:val="00CD03E8"/>
    <w:rsid w:val="00D65A85"/>
    <w:rsid w:val="00E317D1"/>
    <w:rsid w:val="00E37F78"/>
    <w:rsid w:val="00EA19A4"/>
    <w:rsid w:val="00ED29CF"/>
    <w:rsid w:val="00EF27E3"/>
    <w:rsid w:val="00F92B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FC035"/>
  <w15:chartTrackingRefBased/>
  <w15:docId w15:val="{30E3ED82-150A-4A68-A4E5-6179A422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4D4"/>
  </w:style>
  <w:style w:type="paragraph" w:styleId="Heading1">
    <w:name w:val="heading 1"/>
    <w:next w:val="Normal"/>
    <w:link w:val="Heading1Char"/>
    <w:uiPriority w:val="9"/>
    <w:qFormat/>
    <w:rsid w:val="00A92173"/>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A92173"/>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173"/>
  </w:style>
  <w:style w:type="paragraph" w:styleId="Footer">
    <w:name w:val="footer"/>
    <w:basedOn w:val="Normal"/>
    <w:link w:val="FooterChar"/>
    <w:uiPriority w:val="99"/>
    <w:unhideWhenUsed/>
    <w:rsid w:val="00A9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173"/>
  </w:style>
  <w:style w:type="paragraph" w:styleId="ListParagraph">
    <w:name w:val="List Paragraph"/>
    <w:basedOn w:val="Normal"/>
    <w:uiPriority w:val="34"/>
    <w:qFormat/>
    <w:rsid w:val="00A92173"/>
    <w:pPr>
      <w:spacing w:line="276" w:lineRule="auto"/>
      <w:ind w:leftChars="400" w:left="708"/>
    </w:pPr>
    <w:rPr>
      <w:rFonts w:ascii="Arial" w:eastAsia="Arial" w:hAnsi="Arial" w:cs="Arial"/>
      <w:lang w:eastAsia="ja-JP"/>
    </w:rPr>
  </w:style>
  <w:style w:type="paragraph" w:styleId="NoSpacing">
    <w:name w:val="No Spacing"/>
    <w:uiPriority w:val="1"/>
    <w:qFormat/>
    <w:rsid w:val="00A92173"/>
    <w:pPr>
      <w:spacing w:after="0" w:line="240" w:lineRule="auto"/>
    </w:pPr>
  </w:style>
  <w:style w:type="character" w:customStyle="1" w:styleId="Heading1Char">
    <w:name w:val="Heading 1 Char"/>
    <w:basedOn w:val="DefaultParagraphFont"/>
    <w:link w:val="Heading1"/>
    <w:uiPriority w:val="9"/>
    <w:rsid w:val="00A92173"/>
    <w:rPr>
      <w:rFonts w:ascii="Arial" w:eastAsia="Arial" w:hAnsi="Arial" w:cs="Arial"/>
      <w:b/>
      <w:color w:val="000000"/>
      <w:lang w:val="es" w:eastAsia="en-PH"/>
    </w:rPr>
  </w:style>
  <w:style w:type="character" w:customStyle="1" w:styleId="Heading2Char">
    <w:name w:val="Heading 2 Char"/>
    <w:basedOn w:val="DefaultParagraphFont"/>
    <w:link w:val="Heading2"/>
    <w:uiPriority w:val="9"/>
    <w:rsid w:val="00A92173"/>
    <w:rPr>
      <w:rFonts w:ascii="Arial" w:eastAsia="Arial" w:hAnsi="Arial" w:cs="Arial"/>
      <w:b/>
      <w:i/>
      <w:color w:val="000000"/>
      <w:sz w:val="18"/>
      <w:lang w:val="es" w:eastAsia="en-PH"/>
    </w:rPr>
  </w:style>
  <w:style w:type="table" w:customStyle="1" w:styleId="TableGrid">
    <w:name w:val="TableGrid"/>
    <w:rsid w:val="00A92173"/>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A92173"/>
    <w:rPr>
      <w:color w:val="0563C1" w:themeColor="hyperlink"/>
      <w:u w:val="single"/>
    </w:rPr>
  </w:style>
  <w:style w:type="character" w:styleId="UnresolvedMention">
    <w:name w:val="Unresolved Mention"/>
    <w:basedOn w:val="DefaultParagraphFont"/>
    <w:uiPriority w:val="99"/>
    <w:semiHidden/>
    <w:unhideWhenUsed/>
    <w:rsid w:val="00EF2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2359</Words>
  <Characters>13451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7</cp:revision>
  <dcterms:created xsi:type="dcterms:W3CDTF">2022-07-01T12:31:00Z</dcterms:created>
  <dcterms:modified xsi:type="dcterms:W3CDTF">2022-11-23T13:24:00Z</dcterms:modified>
  <cp:contentStatus/>
</cp:coreProperties>
</file>