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B9A8B" w14:textId="1D18C20B" w:rsidR="00133A17" w:rsidRPr="00926CAF" w:rsidRDefault="00DE4F1E" w:rsidP="00104C9F">
      <w:pPr>
        <w:spacing w:after="0" w:line="276" w:lineRule="auto"/>
        <w:ind w:left="0" w:firstLine="0"/>
        <w:jc w:val="center"/>
      </w:pPr>
      <w:r w:rsidRPr="00DE4F1E">
        <w:rPr>
          <w:b/>
          <w:bCs/>
          <w:sz w:val="22"/>
          <w:szCs w:val="22"/>
        </w:rPr>
        <w:t>FSVP Hazard Analysis Program</w:t>
      </w:r>
      <w:r>
        <w:rPr>
          <w:b/>
          <w:bCs/>
          <w:sz w:val="22"/>
          <w:szCs w:val="22"/>
        </w:rPr>
        <w:t xml:space="preserve"> </w:t>
      </w:r>
      <w:r w:rsidR="00FC0155">
        <w:rPr>
          <w:b/>
          <w:bCs/>
          <w:sz w:val="22"/>
          <w:szCs w:val="22"/>
        </w:rPr>
        <w:t>Training Material and Comprehensive Quiz</w:t>
      </w:r>
    </w:p>
    <w:p w14:paraId="7313FDA0" w14:textId="77777777" w:rsidR="00104C9F" w:rsidRPr="009F2614" w:rsidRDefault="00104C9F" w:rsidP="00104C9F">
      <w:pPr>
        <w:ind w:left="0" w:firstLine="0"/>
        <w:contextualSpacing/>
      </w:pPr>
    </w:p>
    <w:p w14:paraId="05A40CED" w14:textId="77777777" w:rsidR="00DE4F1E" w:rsidRPr="00475922" w:rsidRDefault="00DE4F1E" w:rsidP="00537F54">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Policy</w:t>
      </w:r>
    </w:p>
    <w:p w14:paraId="0190A436"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company has a hazard analysis program.</w:t>
      </w:r>
    </w:p>
    <w:p w14:paraId="24F8635E"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qualified individual of the company conducts the hazard analysis.</w:t>
      </w:r>
    </w:p>
    <w:p w14:paraId="6808C605" w14:textId="77777777" w:rsidR="00DE4F1E" w:rsidRPr="00475922" w:rsidRDefault="00DE4F1E" w:rsidP="00DE4F1E">
      <w:pPr>
        <w:pStyle w:val="Default"/>
        <w:tabs>
          <w:tab w:val="left" w:pos="720"/>
        </w:tabs>
        <w:spacing w:line="276" w:lineRule="auto"/>
        <w:ind w:left="1141"/>
        <w:jc w:val="both"/>
        <w:rPr>
          <w:rFonts w:ascii="Arial" w:hAnsi="Arial" w:cs="Arial"/>
          <w:sz w:val="20"/>
          <w:szCs w:val="20"/>
          <w:lang w:eastAsia="ja-JP"/>
        </w:rPr>
      </w:pPr>
    </w:p>
    <w:p w14:paraId="33A18DFD" w14:textId="77777777" w:rsidR="00DE4F1E" w:rsidRPr="00475922" w:rsidRDefault="00DE4F1E" w:rsidP="00537F54">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Procedures</w:t>
      </w:r>
    </w:p>
    <w:p w14:paraId="57D0EEBD" w14:textId="77777777" w:rsidR="00DE4F1E" w:rsidRPr="00DE1BA6"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DE1BA6">
        <w:rPr>
          <w:rFonts w:ascii="Arial" w:hAnsi="Arial" w:cs="Arial"/>
          <w:sz w:val="20"/>
          <w:szCs w:val="20"/>
          <w:lang w:eastAsia="ja-JP"/>
        </w:rPr>
        <w:t>Hazard Analysis of Critical Control Points Principle</w:t>
      </w:r>
    </w:p>
    <w:p w14:paraId="05639B9C"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Conduct a hazard analysis.</w:t>
      </w:r>
    </w:p>
    <w:p w14:paraId="59556612"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Determine the critical control points (CCPs).</w:t>
      </w:r>
    </w:p>
    <w:p w14:paraId="3C39956F"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critical limits.</w:t>
      </w:r>
    </w:p>
    <w:p w14:paraId="08269573"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monitoring procedures.</w:t>
      </w:r>
    </w:p>
    <w:p w14:paraId="4B401340"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corrective actions.</w:t>
      </w:r>
    </w:p>
    <w:p w14:paraId="742F5A1C"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verification procedures.</w:t>
      </w:r>
    </w:p>
    <w:p w14:paraId="57A0D889"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record-keeping and documentation procedures.</w:t>
      </w:r>
    </w:p>
    <w:p w14:paraId="509FDD0E"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Hazard Identification</w:t>
      </w:r>
    </w:p>
    <w:p w14:paraId="1FF04166" w14:textId="77777777" w:rsidR="00DE4F1E" w:rsidRPr="00475922" w:rsidRDefault="00DE4F1E" w:rsidP="00537F54">
      <w:pPr>
        <w:pStyle w:val="indent-2"/>
        <w:numPr>
          <w:ilvl w:val="2"/>
          <w:numId w:val="5"/>
        </w:numPr>
        <w:spacing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of</w:t>
      </w:r>
      <w:r>
        <w:rPr>
          <w:rFonts w:ascii="Arial" w:hAnsi="Arial" w:cs="Arial"/>
          <w:sz w:val="20"/>
          <w:szCs w:val="20"/>
        </w:rPr>
        <w:t xml:space="preserve"> </w:t>
      </w:r>
      <w:r w:rsidRPr="00475922">
        <w:rPr>
          <w:rFonts w:ascii="Arial" w:hAnsi="Arial" w:cs="Arial"/>
          <w:sz w:val="20"/>
          <w:szCs w:val="20"/>
        </w:rPr>
        <w:t>the known or reasonably fores</w:t>
      </w:r>
      <w:r>
        <w:rPr>
          <w:rFonts w:ascii="Arial" w:hAnsi="Arial" w:cs="Arial"/>
          <w:sz w:val="20"/>
          <w:szCs w:val="20"/>
        </w:rPr>
        <w:t>eeable hazards in each food is</w:t>
      </w:r>
      <w:r w:rsidRPr="00475922">
        <w:rPr>
          <w:rFonts w:ascii="Arial" w:hAnsi="Arial" w:cs="Arial"/>
          <w:sz w:val="20"/>
          <w:szCs w:val="20"/>
        </w:rPr>
        <w:t xml:space="preserve"> include</w:t>
      </w:r>
      <w:r>
        <w:rPr>
          <w:rFonts w:ascii="Arial" w:hAnsi="Arial" w:cs="Arial"/>
          <w:sz w:val="20"/>
          <w:szCs w:val="20"/>
        </w:rPr>
        <w:t>d in</w:t>
      </w:r>
      <w:r w:rsidRPr="00475922">
        <w:rPr>
          <w:rFonts w:ascii="Arial" w:hAnsi="Arial" w:cs="Arial"/>
          <w:sz w:val="20"/>
          <w:szCs w:val="20"/>
        </w:rPr>
        <w:t xml:space="preserve"> the following types of hazards: </w:t>
      </w:r>
    </w:p>
    <w:p w14:paraId="5F099B54"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Biological hazards, including microbiological hazards such as parasites, environmental pathogens, and other pathogens. Please see the reference guide for common sources of Biological Hazards:</w:t>
      </w:r>
    </w:p>
    <w:tbl>
      <w:tblPr>
        <w:tblStyle w:val="TableGrid0"/>
        <w:tblW w:w="0" w:type="auto"/>
        <w:tblInd w:w="1255" w:type="dxa"/>
        <w:tblLook w:val="04A0" w:firstRow="1" w:lastRow="0" w:firstColumn="1" w:lastColumn="0" w:noHBand="0" w:noVBand="1"/>
      </w:tblPr>
      <w:tblGrid>
        <w:gridCol w:w="2150"/>
        <w:gridCol w:w="3222"/>
        <w:gridCol w:w="1833"/>
        <w:gridCol w:w="1610"/>
      </w:tblGrid>
      <w:tr w:rsidR="00DE4F1E" w:rsidRPr="00475922" w14:paraId="12053DBE" w14:textId="77777777" w:rsidTr="001D4CB0">
        <w:tc>
          <w:tcPr>
            <w:tcW w:w="2160" w:type="dxa"/>
          </w:tcPr>
          <w:p w14:paraId="0E98C4F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Primary Source</w:t>
            </w:r>
          </w:p>
        </w:tc>
        <w:tc>
          <w:tcPr>
            <w:tcW w:w="3240" w:type="dxa"/>
          </w:tcPr>
          <w:p w14:paraId="15C96E0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Bacteria</w:t>
            </w:r>
          </w:p>
        </w:tc>
        <w:tc>
          <w:tcPr>
            <w:tcW w:w="1800" w:type="dxa"/>
          </w:tcPr>
          <w:p w14:paraId="6B8F001F"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Parasites</w:t>
            </w:r>
          </w:p>
        </w:tc>
        <w:tc>
          <w:tcPr>
            <w:tcW w:w="1615" w:type="dxa"/>
          </w:tcPr>
          <w:p w14:paraId="68048F95"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Viruses</w:t>
            </w:r>
          </w:p>
        </w:tc>
      </w:tr>
      <w:tr w:rsidR="00DE4F1E" w:rsidRPr="00475922" w14:paraId="6003572E" w14:textId="77777777" w:rsidTr="001D4CB0">
        <w:tc>
          <w:tcPr>
            <w:tcW w:w="2160" w:type="dxa"/>
          </w:tcPr>
          <w:p w14:paraId="6E1E6A1A"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 (e.g., contamination of raw materials and other ingredients)</w:t>
            </w:r>
          </w:p>
        </w:tc>
        <w:tc>
          <w:tcPr>
            <w:tcW w:w="3240" w:type="dxa"/>
          </w:tcPr>
          <w:p w14:paraId="1FD95D9C" w14:textId="77777777" w:rsidR="00DE4F1E" w:rsidRPr="00475922" w:rsidRDefault="00DE4F1E" w:rsidP="00537F54">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(e.g., poultry, produce, nuts) </w:t>
            </w:r>
          </w:p>
          <w:p w14:paraId="70E8EE61" w14:textId="77777777" w:rsidR="00DE4F1E" w:rsidRPr="00475922" w:rsidRDefault="00DE4F1E" w:rsidP="00537F54">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E. coli</w:t>
            </w:r>
            <w:r w:rsidRPr="00475922">
              <w:rPr>
                <w:rFonts w:ascii="Arial" w:hAnsi="Arial" w:cs="Arial"/>
                <w:sz w:val="20"/>
                <w:szCs w:val="20"/>
              </w:rPr>
              <w:t xml:space="preserve"> O157:H7 &amp; similar STEC (e.g., ruminant animals, dropped fruit, sprouts) </w:t>
            </w:r>
          </w:p>
          <w:p w14:paraId="330DEEBC"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Campylobacter</w:t>
            </w:r>
            <w:r w:rsidRPr="00475922">
              <w:rPr>
                <w:rFonts w:ascii="Arial" w:hAnsi="Arial" w:cs="Arial"/>
                <w:sz w:val="20"/>
                <w:szCs w:val="20"/>
              </w:rPr>
              <w:t xml:space="preserve"> spp. (e.g., poultry and raw milk) </w:t>
            </w:r>
          </w:p>
          <w:p w14:paraId="388C6090"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B. cereus </w:t>
            </w:r>
            <w:r w:rsidRPr="00475922">
              <w:rPr>
                <w:rFonts w:ascii="Arial" w:hAnsi="Arial" w:cs="Arial"/>
                <w:sz w:val="20"/>
                <w:szCs w:val="20"/>
              </w:rPr>
              <w:t xml:space="preserve">(e.g., rice and other grains) </w:t>
            </w:r>
          </w:p>
          <w:p w14:paraId="7C614BFA"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botulinum</w:t>
            </w:r>
            <w:r w:rsidRPr="00475922">
              <w:rPr>
                <w:rFonts w:ascii="Arial" w:hAnsi="Arial" w:cs="Arial"/>
                <w:sz w:val="20"/>
                <w:szCs w:val="20"/>
              </w:rPr>
              <w:t xml:space="preserve"> (spores may be found in soil and on certain root crops.) </w:t>
            </w:r>
          </w:p>
          <w:p w14:paraId="3BACA397"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perfringens</w:t>
            </w:r>
            <w:r w:rsidRPr="00475922">
              <w:rPr>
                <w:rFonts w:ascii="Arial" w:hAnsi="Arial" w:cs="Arial"/>
                <w:sz w:val="20"/>
                <w:szCs w:val="20"/>
              </w:rPr>
              <w:t xml:space="preserve"> (e.g., spices, may come in soil on produce)</w:t>
            </w:r>
          </w:p>
          <w:p w14:paraId="690CB5BD"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(e.g., raw agricultural commodities, other contaminated products used as ingredients)</w:t>
            </w:r>
          </w:p>
        </w:tc>
        <w:tc>
          <w:tcPr>
            <w:tcW w:w="1800" w:type="dxa"/>
          </w:tcPr>
          <w:p w14:paraId="27A5045B"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used as an ingredient) </w:t>
            </w:r>
          </w:p>
          <w:p w14:paraId="00A4D1BB"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Cyclospora cayetanensis</w:t>
            </w:r>
            <w:r w:rsidRPr="00475922">
              <w:rPr>
                <w:rFonts w:ascii="Arial" w:hAnsi="Arial" w:cs="Arial"/>
                <w:sz w:val="20"/>
                <w:szCs w:val="20"/>
              </w:rPr>
              <w:t xml:space="preserve"> (berries) </w:t>
            </w:r>
          </w:p>
          <w:p w14:paraId="4E0EAF07"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Toxoplasma gondii</w:t>
            </w:r>
            <w:r w:rsidRPr="00475922">
              <w:rPr>
                <w:rFonts w:ascii="Arial" w:hAnsi="Arial" w:cs="Arial"/>
                <w:sz w:val="20"/>
                <w:szCs w:val="20"/>
              </w:rPr>
              <w:t xml:space="preserve"> (meat)</w:t>
            </w:r>
          </w:p>
        </w:tc>
        <w:tc>
          <w:tcPr>
            <w:tcW w:w="1615" w:type="dxa"/>
          </w:tcPr>
          <w:p w14:paraId="245D6CF2" w14:textId="77777777" w:rsidR="00DE4F1E" w:rsidRPr="00475922" w:rsidRDefault="00DE4F1E" w:rsidP="00537F54">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Norovirus (produce, shellfish)</w:t>
            </w:r>
          </w:p>
          <w:p w14:paraId="2F295735" w14:textId="77777777" w:rsidR="00DE4F1E" w:rsidRPr="00475922" w:rsidRDefault="00DE4F1E" w:rsidP="00537F54">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Hepatitis A virus (produce, fruits)</w:t>
            </w:r>
          </w:p>
        </w:tc>
      </w:tr>
      <w:tr w:rsidR="00DE4F1E" w:rsidRPr="00475922" w14:paraId="5ECB386A" w14:textId="77777777" w:rsidTr="001D4CB0">
        <w:tc>
          <w:tcPr>
            <w:tcW w:w="2160" w:type="dxa"/>
          </w:tcPr>
          <w:p w14:paraId="7B34722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Process-related (e.g., poor or ineffective process controls, including by a supplier)</w:t>
            </w:r>
          </w:p>
        </w:tc>
        <w:tc>
          <w:tcPr>
            <w:tcW w:w="3240" w:type="dxa"/>
          </w:tcPr>
          <w:p w14:paraId="260B1D7A"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survive inadequate heat treatment </w:t>
            </w:r>
          </w:p>
          <w:p w14:paraId="1376A1DF"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C. perfringens</w:t>
            </w:r>
            <w:r w:rsidRPr="00475922">
              <w:rPr>
                <w:rFonts w:ascii="Arial" w:hAnsi="Arial" w:cs="Arial"/>
                <w:sz w:val="20"/>
                <w:szCs w:val="20"/>
              </w:rPr>
              <w:t xml:space="preserve"> (improperly cooled cooked foods) </w:t>
            </w:r>
          </w:p>
          <w:p w14:paraId="492CA59A"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(raw agricultural commodities, contaminated products)</w:t>
            </w:r>
          </w:p>
        </w:tc>
        <w:tc>
          <w:tcPr>
            <w:tcW w:w="1800" w:type="dxa"/>
          </w:tcPr>
          <w:p w14:paraId="50D9EA9F" w14:textId="77777777" w:rsidR="00DE4F1E" w:rsidRPr="00475922" w:rsidRDefault="00DE4F1E" w:rsidP="00537F54">
            <w:pPr>
              <w:pStyle w:val="indent-3"/>
              <w:numPr>
                <w:ilvl w:val="0"/>
                <w:numId w:val="7"/>
              </w:numPr>
              <w:spacing w:before="0" w:beforeAutospacing="0" w:after="0" w:afterAutospacing="0" w:line="276" w:lineRule="auto"/>
              <w:ind w:left="152"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source)</w:t>
            </w:r>
          </w:p>
        </w:tc>
        <w:tc>
          <w:tcPr>
            <w:tcW w:w="1615" w:type="dxa"/>
          </w:tcPr>
          <w:p w14:paraId="530AC242"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r w:rsidR="00DE4F1E" w:rsidRPr="00475922" w14:paraId="6F404D0A" w14:textId="77777777" w:rsidTr="001D4CB0">
        <w:tc>
          <w:tcPr>
            <w:tcW w:w="2160" w:type="dxa"/>
          </w:tcPr>
          <w:p w14:paraId="35401D9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 xml:space="preserve">Facility-related (may be caused by poor </w:t>
            </w:r>
            <w:r w:rsidRPr="00475922">
              <w:rPr>
                <w:rFonts w:ascii="Arial" w:hAnsi="Arial" w:cs="Arial"/>
                <w:sz w:val="20"/>
                <w:szCs w:val="20"/>
              </w:rPr>
              <w:lastRenderedPageBreak/>
              <w:t>sanitation practices (e.g., inadequate cleaning and sanitizing of potential harbourage sites), poor plant and equipment design, and poor pest management practices)</w:t>
            </w:r>
          </w:p>
        </w:tc>
        <w:tc>
          <w:tcPr>
            <w:tcW w:w="3240" w:type="dxa"/>
          </w:tcPr>
          <w:p w14:paraId="77BAFC18" w14:textId="77777777" w:rsidR="00DE4F1E" w:rsidRPr="00475922" w:rsidRDefault="00DE4F1E" w:rsidP="00537F54">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lastRenderedPageBreak/>
              <w:t>L. monocytogenes</w:t>
            </w:r>
            <w:r w:rsidRPr="00475922">
              <w:rPr>
                <w:rFonts w:ascii="Arial" w:hAnsi="Arial" w:cs="Arial"/>
                <w:sz w:val="20"/>
                <w:szCs w:val="20"/>
              </w:rPr>
              <w:t xml:space="preserve"> (e.g., reservoirs include floors, cold </w:t>
            </w:r>
            <w:r w:rsidRPr="00475922">
              <w:rPr>
                <w:rFonts w:ascii="Arial" w:hAnsi="Arial" w:cs="Arial"/>
                <w:sz w:val="20"/>
                <w:szCs w:val="20"/>
              </w:rPr>
              <w:lastRenderedPageBreak/>
              <w:t>wet areas, equipment, drains, condensate, coolers, and soil)</w:t>
            </w:r>
          </w:p>
          <w:p w14:paraId="5B661C4E" w14:textId="77777777" w:rsidR="00DE4F1E" w:rsidRPr="00475922" w:rsidRDefault="00DE4F1E" w:rsidP="00537F54">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(pests)</w:t>
            </w:r>
          </w:p>
        </w:tc>
        <w:tc>
          <w:tcPr>
            <w:tcW w:w="1800" w:type="dxa"/>
          </w:tcPr>
          <w:p w14:paraId="7758B247"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lastRenderedPageBreak/>
              <w:t>N/A</w:t>
            </w:r>
          </w:p>
        </w:tc>
        <w:tc>
          <w:tcPr>
            <w:tcW w:w="1615" w:type="dxa"/>
          </w:tcPr>
          <w:p w14:paraId="20BC34BF" w14:textId="77777777" w:rsidR="00DE4F1E" w:rsidRPr="00475922" w:rsidRDefault="00DE4F1E" w:rsidP="00537F54">
            <w:pPr>
              <w:pStyle w:val="indent-3"/>
              <w:numPr>
                <w:ilvl w:val="0"/>
                <w:numId w:val="10"/>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 xml:space="preserve">Norovirus (only when </w:t>
            </w:r>
            <w:r w:rsidRPr="00475922">
              <w:rPr>
                <w:rFonts w:ascii="Arial" w:hAnsi="Arial" w:cs="Arial"/>
                <w:sz w:val="20"/>
                <w:szCs w:val="20"/>
              </w:rPr>
              <w:lastRenderedPageBreak/>
              <w:t>active shedding occurs in the facility through vomiting and diarrhea)</w:t>
            </w:r>
          </w:p>
        </w:tc>
      </w:tr>
      <w:tr w:rsidR="00DE4F1E" w:rsidRPr="00475922" w14:paraId="1E3F610C" w14:textId="77777777" w:rsidTr="001D4CB0">
        <w:tc>
          <w:tcPr>
            <w:tcW w:w="2160" w:type="dxa"/>
          </w:tcPr>
          <w:p w14:paraId="10D867AE" w14:textId="77777777" w:rsidR="00DE4F1E" w:rsidRPr="00475922" w:rsidRDefault="00DE4F1E" w:rsidP="001D4CB0">
            <w:pPr>
              <w:spacing w:line="276" w:lineRule="auto"/>
              <w:rPr>
                <w:rFonts w:ascii="Arial" w:hAnsi="Arial" w:cs="Arial"/>
                <w:sz w:val="20"/>
                <w:szCs w:val="20"/>
              </w:rPr>
            </w:pPr>
            <w:r w:rsidRPr="00475922">
              <w:rPr>
                <w:rFonts w:ascii="Arial" w:hAnsi="Arial" w:cs="Arial"/>
                <w:sz w:val="20"/>
                <w:szCs w:val="20"/>
              </w:rPr>
              <w:lastRenderedPageBreak/>
              <w:t xml:space="preserve">People-related (individuals who are carriers, showing no signs of disease, who are shedding the hazard, or who are infected and are actively ill) </w:t>
            </w:r>
          </w:p>
        </w:tc>
        <w:tc>
          <w:tcPr>
            <w:tcW w:w="3240" w:type="dxa"/>
          </w:tcPr>
          <w:p w14:paraId="590E392E" w14:textId="77777777" w:rsidR="00DE4F1E" w:rsidRPr="0043452A" w:rsidRDefault="00DE4F1E" w:rsidP="00537F54">
            <w:pPr>
              <w:pStyle w:val="ListParagraph"/>
              <w:numPr>
                <w:ilvl w:val="0"/>
                <w:numId w:val="8"/>
              </w:numPr>
              <w:spacing w:line="276" w:lineRule="auto"/>
              <w:ind w:left="160" w:hanging="180"/>
              <w:rPr>
                <w:rFonts w:ascii="Arial" w:hAnsi="Arial" w:cs="Arial"/>
                <w:i/>
                <w:iCs/>
                <w:sz w:val="20"/>
                <w:szCs w:val="20"/>
              </w:rPr>
            </w:pPr>
            <w:r w:rsidRPr="0043452A">
              <w:rPr>
                <w:rFonts w:ascii="Arial" w:hAnsi="Arial" w:cs="Arial"/>
                <w:i/>
                <w:iCs/>
                <w:sz w:val="20"/>
                <w:szCs w:val="20"/>
              </w:rPr>
              <w:t xml:space="preserve">S. aureus </w:t>
            </w:r>
          </w:p>
          <w:p w14:paraId="11B471AE" w14:textId="77777777" w:rsidR="00DE4F1E" w:rsidRPr="00475922" w:rsidRDefault="00DE4F1E" w:rsidP="00537F54">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Shigella</w:t>
            </w:r>
            <w:r w:rsidRPr="00475922">
              <w:rPr>
                <w:rFonts w:ascii="Arial" w:hAnsi="Arial" w:cs="Arial"/>
                <w:sz w:val="20"/>
                <w:szCs w:val="20"/>
              </w:rPr>
              <w:t xml:space="preserve"> spp.</w:t>
            </w:r>
          </w:p>
          <w:p w14:paraId="5279DD20" w14:textId="77777777" w:rsidR="00DE4F1E" w:rsidRPr="00475922" w:rsidRDefault="00DE4F1E" w:rsidP="00537F54">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w:t>
            </w:r>
          </w:p>
          <w:p w14:paraId="28250851" w14:textId="77777777" w:rsidR="00DE4F1E" w:rsidRPr="00475922" w:rsidRDefault="00DE4F1E" w:rsidP="001D4CB0">
            <w:pPr>
              <w:pStyle w:val="ListParagraph"/>
              <w:spacing w:line="276" w:lineRule="auto"/>
              <w:ind w:left="160"/>
              <w:rPr>
                <w:rFonts w:ascii="Arial" w:hAnsi="Arial" w:cs="Arial"/>
                <w:sz w:val="20"/>
                <w:szCs w:val="20"/>
              </w:rPr>
            </w:pPr>
          </w:p>
        </w:tc>
        <w:tc>
          <w:tcPr>
            <w:tcW w:w="1800" w:type="dxa"/>
          </w:tcPr>
          <w:p w14:paraId="2FBCD049" w14:textId="77777777" w:rsidR="00DE4F1E" w:rsidRPr="0043452A" w:rsidRDefault="00DE4F1E" w:rsidP="00537F54">
            <w:pPr>
              <w:pStyle w:val="ListParagraph"/>
              <w:numPr>
                <w:ilvl w:val="0"/>
                <w:numId w:val="8"/>
              </w:numPr>
              <w:spacing w:after="160" w:line="276" w:lineRule="auto"/>
              <w:ind w:left="160" w:hanging="180"/>
              <w:rPr>
                <w:rFonts w:ascii="Arial" w:hAnsi="Arial" w:cs="Arial"/>
                <w:i/>
                <w:iCs/>
                <w:sz w:val="20"/>
                <w:szCs w:val="20"/>
              </w:rPr>
            </w:pPr>
            <w:r w:rsidRPr="0043452A">
              <w:rPr>
                <w:rFonts w:ascii="Arial" w:hAnsi="Arial" w:cs="Arial"/>
                <w:i/>
                <w:iCs/>
                <w:sz w:val="20"/>
                <w:szCs w:val="20"/>
              </w:rPr>
              <w:t xml:space="preserve">Cryptosporidium parvum </w:t>
            </w:r>
          </w:p>
          <w:p w14:paraId="798F5795" w14:textId="77777777" w:rsidR="00DE4F1E" w:rsidRPr="00475922" w:rsidRDefault="00DE4F1E" w:rsidP="001D4CB0">
            <w:pPr>
              <w:spacing w:line="276" w:lineRule="auto"/>
              <w:rPr>
                <w:rFonts w:ascii="Arial" w:hAnsi="Arial" w:cs="Arial"/>
                <w:sz w:val="20"/>
                <w:szCs w:val="20"/>
              </w:rPr>
            </w:pPr>
          </w:p>
        </w:tc>
        <w:tc>
          <w:tcPr>
            <w:tcW w:w="1615" w:type="dxa"/>
          </w:tcPr>
          <w:p w14:paraId="0B1FF1E2"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Hepatitis A virus</w:t>
            </w:r>
          </w:p>
          <w:p w14:paraId="638F1D3A"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Norovirus</w:t>
            </w:r>
          </w:p>
          <w:p w14:paraId="046127C5"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Rotavirus</w:t>
            </w:r>
          </w:p>
        </w:tc>
      </w:tr>
    </w:tbl>
    <w:p w14:paraId="007AD0D8" w14:textId="77777777" w:rsidR="00DE4F1E" w:rsidRPr="00475922" w:rsidRDefault="00DE4F1E" w:rsidP="00DE4F1E">
      <w:pPr>
        <w:pStyle w:val="indent-3"/>
        <w:tabs>
          <w:tab w:val="left" w:pos="2841"/>
        </w:tabs>
        <w:spacing w:before="0" w:beforeAutospacing="0" w:after="0" w:afterAutospacing="0" w:line="276" w:lineRule="auto"/>
        <w:rPr>
          <w:rFonts w:ascii="Arial" w:hAnsi="Arial" w:cs="Arial"/>
          <w:sz w:val="20"/>
          <w:szCs w:val="20"/>
        </w:rPr>
      </w:pPr>
    </w:p>
    <w:p w14:paraId="02AAACE3"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Chemical hazards, including radiological hazards, pesticide and drug residues, natural toxins, decomposition, unapproved food or color additives, food allergens, and (in animal food) nutrient deficiencies or toxicities. Please see the reference guide for common sources of Chemical Hazards.</w:t>
      </w:r>
    </w:p>
    <w:p w14:paraId="68B73FB4" w14:textId="77777777" w:rsidR="00DE4F1E" w:rsidRPr="00475922" w:rsidRDefault="00DE4F1E" w:rsidP="00DE4F1E">
      <w:pPr>
        <w:pStyle w:val="indent-3"/>
        <w:spacing w:before="0" w:beforeAutospacing="0" w:after="0" w:afterAutospacing="0" w:line="276" w:lineRule="auto"/>
        <w:ind w:left="1980"/>
        <w:rPr>
          <w:rFonts w:ascii="Arial" w:hAnsi="Arial" w:cs="Arial"/>
          <w:sz w:val="20"/>
          <w:szCs w:val="20"/>
        </w:rPr>
      </w:pPr>
    </w:p>
    <w:tbl>
      <w:tblPr>
        <w:tblStyle w:val="TableGrid0"/>
        <w:tblW w:w="0" w:type="auto"/>
        <w:tblInd w:w="1255" w:type="dxa"/>
        <w:tblLook w:val="04A0" w:firstRow="1" w:lastRow="0" w:firstColumn="1" w:lastColumn="0" w:noHBand="0" w:noVBand="1"/>
      </w:tblPr>
      <w:tblGrid>
        <w:gridCol w:w="2520"/>
        <w:gridCol w:w="6295"/>
      </w:tblGrid>
      <w:tr w:rsidR="00DE4F1E" w:rsidRPr="00475922" w14:paraId="3F8D2CFF" w14:textId="77777777" w:rsidTr="001D4CB0">
        <w:tc>
          <w:tcPr>
            <w:tcW w:w="2520" w:type="dxa"/>
          </w:tcPr>
          <w:p w14:paraId="5913CD6B" w14:textId="77777777" w:rsidR="00DE4F1E" w:rsidRPr="00DE1BA6" w:rsidRDefault="00DE4F1E" w:rsidP="001D4CB0">
            <w:pPr>
              <w:pStyle w:val="indent-3"/>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Source</w:t>
            </w:r>
          </w:p>
        </w:tc>
        <w:tc>
          <w:tcPr>
            <w:tcW w:w="6295" w:type="dxa"/>
          </w:tcPr>
          <w:p w14:paraId="67BC581D" w14:textId="77777777" w:rsidR="00DE4F1E" w:rsidRPr="00DE1BA6" w:rsidRDefault="00DE4F1E" w:rsidP="001D4CB0">
            <w:pPr>
              <w:pStyle w:val="indent-3"/>
              <w:tabs>
                <w:tab w:val="left" w:pos="1206"/>
              </w:tabs>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Example</w:t>
            </w:r>
          </w:p>
        </w:tc>
      </w:tr>
      <w:tr w:rsidR="00DE4F1E" w:rsidRPr="00475922" w14:paraId="1BF8C51D" w14:textId="77777777" w:rsidTr="001D4CB0">
        <w:tc>
          <w:tcPr>
            <w:tcW w:w="2520" w:type="dxa"/>
          </w:tcPr>
          <w:p w14:paraId="26041206"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Ingredient-related chemical hazards</w:t>
            </w:r>
          </w:p>
        </w:tc>
        <w:tc>
          <w:tcPr>
            <w:tcW w:w="6295" w:type="dxa"/>
          </w:tcPr>
          <w:p w14:paraId="05342C6D"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Pesticide residues on produce raw agricultural commodities</w:t>
            </w:r>
          </w:p>
          <w:p w14:paraId="3D990693"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Drug residues in milk </w:t>
            </w:r>
          </w:p>
          <w:p w14:paraId="329DF8FD"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Heavy metals in or on produce raw agricultural commodities (e.g., lead, cadmium, arsenic, and mercury)</w:t>
            </w:r>
          </w:p>
          <w:p w14:paraId="7165D59A"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Environmental contaminants (e.g., dioxins) </w:t>
            </w:r>
          </w:p>
          <w:p w14:paraId="6AC0710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Mycotoxins in grains </w:t>
            </w:r>
          </w:p>
          <w:p w14:paraId="73BCEB9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Histamine in some aged cheeses</w:t>
            </w:r>
          </w:p>
          <w:p w14:paraId="31A6D5B9"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Radiological hazards in foods from areas after a nuclear accident </w:t>
            </w:r>
          </w:p>
          <w:p w14:paraId="6861FA5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Unapproved food or color additives</w:t>
            </w:r>
          </w:p>
          <w:p w14:paraId="11CDB72C"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Food allergens and substances associated with a food intolerance or food disorder (e.g., sulfites, gluten)</w:t>
            </w:r>
          </w:p>
        </w:tc>
      </w:tr>
      <w:tr w:rsidR="00DE4F1E" w:rsidRPr="00475922" w14:paraId="447CB678" w14:textId="77777777" w:rsidTr="001D4CB0">
        <w:tc>
          <w:tcPr>
            <w:tcW w:w="2520" w:type="dxa"/>
          </w:tcPr>
          <w:p w14:paraId="31AEB0DE"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Process-related chemical hazards</w:t>
            </w:r>
          </w:p>
        </w:tc>
        <w:tc>
          <w:tcPr>
            <w:tcW w:w="6295" w:type="dxa"/>
          </w:tcPr>
          <w:p w14:paraId="15C40B7E"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Undeclared food allergens due to mislabelling or cross-contact</w:t>
            </w:r>
          </w:p>
          <w:p w14:paraId="1CF9A842"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Improper addition of substances associated with food intolerance (e.g., sulfites)</w:t>
            </w:r>
          </w:p>
          <w:p w14:paraId="30B8AA65"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Improper use of a color additive such as Yellow No. 5</w:t>
            </w:r>
          </w:p>
          <w:p w14:paraId="376DA3EF"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Contamination with industrial chemicals such as cleaners or sanitizers </w:t>
            </w:r>
          </w:p>
          <w:p w14:paraId="0436C6FE"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Radiological hazards from the use of contaminated water supply</w:t>
            </w:r>
          </w:p>
        </w:tc>
      </w:tr>
      <w:tr w:rsidR="00DE4F1E" w:rsidRPr="00475922" w14:paraId="6882711F" w14:textId="77777777" w:rsidTr="001D4CB0">
        <w:tc>
          <w:tcPr>
            <w:tcW w:w="2520" w:type="dxa"/>
          </w:tcPr>
          <w:p w14:paraId="7F70FC45"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Facility-related chemical hazards</w:t>
            </w:r>
          </w:p>
        </w:tc>
        <w:tc>
          <w:tcPr>
            <w:tcW w:w="6295" w:type="dxa"/>
          </w:tcPr>
          <w:p w14:paraId="2C8AEBBD" w14:textId="77777777" w:rsidR="00DE4F1E" w:rsidRPr="00DE1BA6" w:rsidRDefault="00DE4F1E" w:rsidP="00537F54">
            <w:pPr>
              <w:pStyle w:val="indent-3"/>
              <w:numPr>
                <w:ilvl w:val="0"/>
                <w:numId w:val="16"/>
              </w:numPr>
              <w:spacing w:before="0" w:beforeAutospacing="0" w:after="0" w:afterAutospacing="0" w:line="276" w:lineRule="auto"/>
              <w:ind w:left="76" w:hanging="180"/>
              <w:rPr>
                <w:rFonts w:ascii="Arial" w:hAnsi="Arial" w:cs="Arial"/>
                <w:sz w:val="20"/>
                <w:szCs w:val="20"/>
              </w:rPr>
            </w:pPr>
            <w:r w:rsidRPr="00DE1BA6">
              <w:rPr>
                <w:rFonts w:ascii="Arial" w:hAnsi="Arial" w:cs="Arial"/>
                <w:sz w:val="20"/>
                <w:szCs w:val="20"/>
              </w:rPr>
              <w:t>Heavy metals due to leaching from equipment, containers, or utensils</w:t>
            </w:r>
          </w:p>
        </w:tc>
      </w:tr>
    </w:tbl>
    <w:p w14:paraId="6F3AACB1" w14:textId="77777777" w:rsidR="00DE4F1E" w:rsidRPr="00475922" w:rsidRDefault="00DE4F1E" w:rsidP="00DE4F1E">
      <w:pPr>
        <w:pStyle w:val="indent-3"/>
        <w:spacing w:before="0" w:beforeAutospacing="0" w:after="0" w:afterAutospacing="0" w:line="276" w:lineRule="auto"/>
        <w:ind w:left="360"/>
        <w:rPr>
          <w:rFonts w:ascii="Arial" w:hAnsi="Arial" w:cs="Arial"/>
          <w:sz w:val="20"/>
          <w:szCs w:val="20"/>
        </w:rPr>
      </w:pPr>
    </w:p>
    <w:p w14:paraId="38FFFADC" w14:textId="77777777" w:rsidR="00DE4F1E"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Hazard Analysis for food packaging and labeling- </w:t>
      </w:r>
      <w:r>
        <w:rPr>
          <w:rFonts w:ascii="Arial" w:hAnsi="Arial" w:cs="Arial"/>
          <w:sz w:val="20"/>
          <w:szCs w:val="20"/>
        </w:rPr>
        <w:t xml:space="preserve">Common critical control point is an allergen. </w:t>
      </w:r>
      <w:r w:rsidRPr="00500E27">
        <w:rPr>
          <w:rFonts w:ascii="Arial" w:hAnsi="Arial" w:cs="Arial"/>
          <w:color w:val="000000"/>
          <w:sz w:val="20"/>
          <w:szCs w:val="18"/>
          <w:shd w:val="clear" w:color="auto" w:fill="FFFFFF"/>
        </w:rPr>
        <w:t xml:space="preserve">When packaging is </w:t>
      </w:r>
      <w:r>
        <w:rPr>
          <w:rFonts w:ascii="Arial" w:hAnsi="Arial" w:cs="Arial"/>
          <w:color w:val="000000"/>
          <w:sz w:val="20"/>
          <w:szCs w:val="18"/>
          <w:shd w:val="clear" w:color="auto" w:fill="FFFFFF"/>
        </w:rPr>
        <w:t>labeled</w:t>
      </w:r>
      <w:r w:rsidRPr="00500E27">
        <w:rPr>
          <w:rFonts w:ascii="Arial" w:hAnsi="Arial" w:cs="Arial"/>
          <w:color w:val="000000"/>
          <w:sz w:val="20"/>
          <w:szCs w:val="18"/>
          <w:shd w:val="clear" w:color="auto" w:fill="FFFFFF"/>
        </w:rPr>
        <w:t xml:space="preserve"> or decorated (which may include food </w:t>
      </w:r>
      <w:r w:rsidRPr="00500E27">
        <w:rPr>
          <w:rFonts w:ascii="Arial" w:hAnsi="Arial" w:cs="Arial"/>
          <w:color w:val="000000"/>
          <w:sz w:val="20"/>
          <w:szCs w:val="18"/>
          <w:shd w:val="clear" w:color="auto" w:fill="FFFFFF"/>
        </w:rPr>
        <w:lastRenderedPageBreak/>
        <w:t xml:space="preserve">ingredients statements) it is </w:t>
      </w:r>
      <w:r>
        <w:rPr>
          <w:rFonts w:ascii="Arial" w:hAnsi="Arial" w:cs="Arial"/>
          <w:color w:val="000000"/>
          <w:sz w:val="20"/>
          <w:szCs w:val="18"/>
          <w:shd w:val="clear" w:color="auto" w:fill="FFFFFF"/>
        </w:rPr>
        <w:t>critical for the organization</w:t>
      </w:r>
      <w:r w:rsidRPr="00500E27">
        <w:rPr>
          <w:rFonts w:ascii="Arial" w:hAnsi="Arial" w:cs="Arial"/>
          <w:color w:val="000000"/>
          <w:sz w:val="20"/>
          <w:szCs w:val="18"/>
          <w:shd w:val="clear" w:color="auto" w:fill="FFFFFF"/>
        </w:rPr>
        <w:t xml:space="preserve"> to have controls in place to use the most current version of the ingredients statement</w:t>
      </w:r>
      <w:r>
        <w:rPr>
          <w:rFonts w:ascii="Arial" w:hAnsi="Arial" w:cs="Arial"/>
          <w:color w:val="000000"/>
          <w:sz w:val="20"/>
          <w:szCs w:val="18"/>
          <w:shd w:val="clear" w:color="auto" w:fill="FFFFFF"/>
        </w:rPr>
        <w:t>.</w:t>
      </w:r>
    </w:p>
    <w:p w14:paraId="4F47ADCD"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500E27">
        <w:rPr>
          <w:rFonts w:ascii="Arial" w:hAnsi="Arial" w:cs="Arial"/>
          <w:sz w:val="20"/>
        </w:rPr>
        <w:t xml:space="preserve">Chemical hazards that can be either ingredient-related or </w:t>
      </w:r>
      <w:r>
        <w:rPr>
          <w:rFonts w:ascii="Arial" w:hAnsi="Arial" w:cs="Arial"/>
          <w:sz w:val="20"/>
        </w:rPr>
        <w:t>process-related</w:t>
      </w:r>
      <w:r w:rsidRPr="00500E27">
        <w:rPr>
          <w:rFonts w:ascii="Arial" w:hAnsi="Arial" w:cs="Arial"/>
          <w:sz w:val="16"/>
          <w:szCs w:val="20"/>
        </w:rPr>
        <w:t xml:space="preserve"> </w:t>
      </w:r>
      <w:r>
        <w:rPr>
          <w:rFonts w:ascii="Arial" w:hAnsi="Arial" w:cs="Arial"/>
          <w:sz w:val="20"/>
          <w:szCs w:val="20"/>
        </w:rPr>
        <w:t xml:space="preserve">- </w:t>
      </w:r>
      <w:r w:rsidRPr="00475922">
        <w:rPr>
          <w:rFonts w:ascii="Arial" w:hAnsi="Arial" w:cs="Arial"/>
          <w:sz w:val="20"/>
          <w:szCs w:val="20"/>
        </w:rPr>
        <w:t>to prevent life-threatening reactions, food allergens are avoided by allergic consumers. Undeclared food allergens are chemical hazards that can get into food because either:</w:t>
      </w:r>
    </w:p>
    <w:p w14:paraId="0BE3702F"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The food manufacturer did not properly declare a food allergen ingredient on the product label</w:t>
      </w:r>
      <w:r>
        <w:rPr>
          <w:rFonts w:ascii="Arial" w:hAnsi="Arial" w:cs="Arial"/>
          <w:sz w:val="20"/>
          <w:szCs w:val="20"/>
        </w:rPr>
        <w:t>.</w:t>
      </w:r>
    </w:p>
    <w:p w14:paraId="2F538554"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Unintended (and, thus, undeclared) food allergens are present in </w:t>
      </w:r>
      <w:r>
        <w:rPr>
          <w:rFonts w:ascii="Arial" w:hAnsi="Arial" w:cs="Arial"/>
          <w:sz w:val="20"/>
          <w:szCs w:val="20"/>
        </w:rPr>
        <w:t>food</w:t>
      </w:r>
      <w:r w:rsidRPr="00475922">
        <w:rPr>
          <w:rFonts w:ascii="Arial" w:hAnsi="Arial" w:cs="Arial"/>
          <w:sz w:val="20"/>
          <w:szCs w:val="20"/>
        </w:rPr>
        <w:t xml:space="preserve"> due to incorrect labeling or due to allergen cross-contact.</w:t>
      </w:r>
    </w:p>
    <w:p w14:paraId="322EC195"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75610F">
        <w:rPr>
          <w:rFonts w:ascii="Arial" w:hAnsi="Arial" w:cs="Arial"/>
          <w:sz w:val="20"/>
          <w:szCs w:val="20"/>
        </w:rPr>
        <w:t xml:space="preserve">Undeclared food allergen hazards due to incorrect label design- </w:t>
      </w:r>
      <w:r w:rsidRPr="0075610F">
        <w:rPr>
          <w:rFonts w:ascii="Arial" w:hAnsi="Arial" w:cs="Arial"/>
          <w:sz w:val="20"/>
          <w:szCs w:val="20"/>
          <w:shd w:val="clear" w:color="auto" w:fill="FFFFFF"/>
        </w:rPr>
        <w:t>Food Allergen Labeling and Consumer Protection Act of 2004 (</w:t>
      </w:r>
      <w:r w:rsidRPr="0075610F">
        <w:rPr>
          <w:rFonts w:ascii="Arial" w:hAnsi="Arial" w:cs="Arial"/>
          <w:sz w:val="20"/>
          <w:szCs w:val="20"/>
        </w:rPr>
        <w:t>FALCPA) also amended section 403 of the FD</w:t>
      </w:r>
      <w:r w:rsidRPr="00475922">
        <w:rPr>
          <w:rFonts w:ascii="Arial" w:hAnsi="Arial" w:cs="Arial"/>
          <w:sz w:val="20"/>
          <w:szCs w:val="20"/>
        </w:rPr>
        <w:t>&amp;C Act (21 U.S.C. 343) to prescribe certain requirements for what you must declare on the product label for any food product that contains any of the “big eight allergens”</w:t>
      </w:r>
      <w:r>
        <w:rPr>
          <w:rFonts w:ascii="Arial" w:hAnsi="Arial" w:cs="Arial"/>
          <w:sz w:val="20"/>
          <w:szCs w:val="20"/>
        </w:rPr>
        <w:t xml:space="preserve"> (e.g</w:t>
      </w:r>
      <w:r w:rsidRPr="00475922">
        <w:rPr>
          <w:rFonts w:ascii="Arial" w:hAnsi="Arial" w:cs="Arial"/>
          <w:sz w:val="20"/>
          <w:szCs w:val="20"/>
        </w:rPr>
        <w:t>.</w:t>
      </w:r>
      <w:r>
        <w:rPr>
          <w:rFonts w:ascii="Arial" w:hAnsi="Arial" w:cs="Arial"/>
          <w:sz w:val="20"/>
          <w:szCs w:val="20"/>
        </w:rPr>
        <w:t xml:space="preserve">, crustacea, egg, fish, milk, peanut, soy, tree nuts, and wheat) </w:t>
      </w:r>
    </w:p>
    <w:p w14:paraId="46C53158"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An undeclared food allergen (including a food allergen contained in flavorings, colorings, and incidental additives) due to an incorrect label design that does not address all the labelling requirements of FALCPA is a chemical hazard.</w:t>
      </w:r>
    </w:p>
    <w:p w14:paraId="1602C9FF"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incorrect application or use of a product label- If you apply the wrong label to </w:t>
      </w:r>
      <w:r>
        <w:rPr>
          <w:rFonts w:ascii="Arial" w:hAnsi="Arial" w:cs="Arial"/>
          <w:sz w:val="20"/>
          <w:szCs w:val="20"/>
        </w:rPr>
        <w:t>food</w:t>
      </w:r>
      <w:r w:rsidRPr="00475922">
        <w:rPr>
          <w:rFonts w:ascii="Arial" w:hAnsi="Arial" w:cs="Arial"/>
          <w:sz w:val="20"/>
          <w:szCs w:val="20"/>
        </w:rPr>
        <w:t xml:space="preserve">, or use the wrong packaging (e.g., using packaging for “chocolate ice cream” rather than for “chocolate ice cream with almonds”), consumers who have a food allergy could purchase </w:t>
      </w:r>
      <w:r>
        <w:rPr>
          <w:rFonts w:ascii="Arial" w:hAnsi="Arial" w:cs="Arial"/>
          <w:sz w:val="20"/>
          <w:szCs w:val="20"/>
        </w:rPr>
        <w:t>food</w:t>
      </w:r>
      <w:r w:rsidRPr="00475922">
        <w:rPr>
          <w:rFonts w:ascii="Arial" w:hAnsi="Arial" w:cs="Arial"/>
          <w:sz w:val="20"/>
          <w:szCs w:val="20"/>
        </w:rPr>
        <w:t xml:space="preserve"> that </w:t>
      </w:r>
      <w:r>
        <w:rPr>
          <w:rFonts w:ascii="Arial" w:hAnsi="Arial" w:cs="Arial"/>
          <w:sz w:val="20"/>
          <w:szCs w:val="20"/>
        </w:rPr>
        <w:t>causes</w:t>
      </w:r>
      <w:r w:rsidRPr="00475922">
        <w:rPr>
          <w:rFonts w:ascii="Arial" w:hAnsi="Arial" w:cs="Arial"/>
          <w:sz w:val="20"/>
          <w:szCs w:val="20"/>
        </w:rPr>
        <w:t xml:space="preserve"> an allergic reaction. An undeclared food allergen due to applying the incorrect food label to a product, or using the wrong packaging, is a chemical hazard.</w:t>
      </w:r>
    </w:p>
    <w:p w14:paraId="040C0AFD"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allergen cross-contact- </w:t>
      </w:r>
      <w:r w:rsidRPr="00DC67FF">
        <w:rPr>
          <w:rFonts w:ascii="Arial" w:hAnsi="Arial" w:cs="Arial"/>
          <w:sz w:val="20"/>
          <w:szCs w:val="20"/>
        </w:rPr>
        <w:t>The unintentional incorporation of undeclared allergens into foods can cause cross-contact</w:t>
      </w:r>
      <w:r>
        <w:rPr>
          <w:rFonts w:ascii="Arial" w:hAnsi="Arial" w:cs="Arial"/>
          <w:sz w:val="20"/>
          <w:szCs w:val="20"/>
        </w:rPr>
        <w:t>.</w:t>
      </w:r>
      <w:r w:rsidRPr="00475922">
        <w:rPr>
          <w:rFonts w:ascii="Arial" w:hAnsi="Arial" w:cs="Arial"/>
          <w:sz w:val="20"/>
          <w:szCs w:val="20"/>
        </w:rPr>
        <w:t xml:space="preserve"> Cross-contact can occur either between foods that contain different food allergens or between foods with and without food allergens. Introduction of an allergen through cross-contact may occur during receiving, handling, processing and storage of ingredients and foods, utensils, and packaging; through improper handling and cleaning of equipment, utensils, and facilities; and through improper facility design. An undeclared food allergen due to allergen cross-contact is a chemical hazard. Allergen cross-contact can result from:</w:t>
      </w:r>
    </w:p>
    <w:p w14:paraId="5D0E4D19"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schedule the production of two different products appropriately, resulting in an allergen-containing product contaminating a pr</w:t>
      </w:r>
      <w:r>
        <w:rPr>
          <w:rFonts w:ascii="Arial" w:hAnsi="Arial" w:cs="Arial"/>
          <w:sz w:val="20"/>
          <w:szCs w:val="20"/>
        </w:rPr>
        <w:t xml:space="preserve">oduct without food allergens. </w:t>
      </w:r>
    </w:p>
    <w:p w14:paraId="08B092F9"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adequately clean between two different formulations of a product that do and do not contain allergens, resulting in an allergen-containing product contaminating a </w:t>
      </w:r>
      <w:r>
        <w:rPr>
          <w:rFonts w:ascii="Arial" w:hAnsi="Arial" w:cs="Arial"/>
          <w:sz w:val="20"/>
          <w:szCs w:val="20"/>
        </w:rPr>
        <w:t>product without the allergen.</w:t>
      </w:r>
    </w:p>
    <w:p w14:paraId="79031A98"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store allergen-containing ingredients separately from ingredients that do not contain allergens, where leakage of allergen-containing materials results in contamination of the </w:t>
      </w:r>
      <w:r>
        <w:rPr>
          <w:rFonts w:ascii="Arial" w:hAnsi="Arial" w:cs="Arial"/>
          <w:sz w:val="20"/>
          <w:szCs w:val="20"/>
        </w:rPr>
        <w:t xml:space="preserve">non-allergen-containing product. </w:t>
      </w:r>
    </w:p>
    <w:p w14:paraId="072025A5"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handle powdered allergens in a way that prevents particles from blowing onto foods or food contact surfaces for foods that do not contain that allergen.</w:t>
      </w:r>
    </w:p>
    <w:p w14:paraId="7750D81F" w14:textId="77777777" w:rsidR="00DE4F1E" w:rsidRPr="00500E27" w:rsidRDefault="00DE4F1E" w:rsidP="00537F54">
      <w:pPr>
        <w:pStyle w:val="indent-3"/>
        <w:numPr>
          <w:ilvl w:val="4"/>
          <w:numId w:val="5"/>
        </w:numPr>
        <w:tabs>
          <w:tab w:val="left" w:pos="2520"/>
        </w:tabs>
        <w:spacing w:before="0" w:beforeAutospacing="0" w:after="0" w:afterAutospacing="0" w:line="276" w:lineRule="auto"/>
        <w:ind w:left="2880" w:hanging="900"/>
        <w:jc w:val="both"/>
        <w:rPr>
          <w:rFonts w:ascii="Arial" w:hAnsi="Arial" w:cs="Arial"/>
          <w:sz w:val="12"/>
          <w:szCs w:val="20"/>
        </w:rPr>
      </w:pPr>
      <w:r w:rsidRPr="001E62E4">
        <w:rPr>
          <w:rFonts w:ascii="Arial" w:hAnsi="Arial" w:cs="Arial"/>
          <w:sz w:val="20"/>
        </w:rPr>
        <w:t>Chemical hazards due to incorrect labeling of substances associated with food intolerance or food disorder</w:t>
      </w:r>
      <w:r>
        <w:rPr>
          <w:rFonts w:ascii="Arial" w:hAnsi="Arial" w:cs="Arial"/>
          <w:sz w:val="20"/>
        </w:rPr>
        <w:t xml:space="preserve">- </w:t>
      </w:r>
      <w:r w:rsidRPr="003969FD">
        <w:rPr>
          <w:rFonts w:ascii="Arial" w:hAnsi="Arial" w:cs="Arial"/>
          <w:sz w:val="20"/>
        </w:rPr>
        <w:t xml:space="preserve">Although the mechanisms whereby persons </w:t>
      </w:r>
      <w:r w:rsidRPr="003969FD">
        <w:rPr>
          <w:rFonts w:ascii="Arial" w:hAnsi="Arial" w:cs="Arial"/>
          <w:sz w:val="20"/>
        </w:rPr>
        <w:lastRenderedPageBreak/>
        <w:t xml:space="preserve">experience food intolerance or food disorder are different from the mechanisms that cause food allergy, reactions due to food intolerance or food disorder can cause significant health problems for those affected. Consumers avoiding the symptoms </w:t>
      </w:r>
      <w:r>
        <w:rPr>
          <w:rFonts w:ascii="Arial" w:hAnsi="Arial" w:cs="Arial"/>
          <w:sz w:val="20"/>
        </w:rPr>
        <w:t xml:space="preserve">of </w:t>
      </w:r>
      <w:r w:rsidRPr="003969FD">
        <w:rPr>
          <w:rFonts w:ascii="Arial" w:hAnsi="Arial" w:cs="Arial"/>
          <w:sz w:val="20"/>
        </w:rPr>
        <w:t xml:space="preserve">food intolerance are the same </w:t>
      </w:r>
      <w:r>
        <w:rPr>
          <w:rFonts w:ascii="Arial" w:hAnsi="Arial" w:cs="Arial"/>
          <w:sz w:val="20"/>
        </w:rPr>
        <w:t>as</w:t>
      </w:r>
      <w:r w:rsidRPr="003969FD">
        <w:rPr>
          <w:rFonts w:ascii="Arial" w:hAnsi="Arial" w:cs="Arial"/>
          <w:sz w:val="20"/>
        </w:rPr>
        <w:t xml:space="preserve"> eluding the symptoms of food allergy.</w:t>
      </w:r>
      <w:r>
        <w:rPr>
          <w:rFonts w:ascii="Arial" w:hAnsi="Arial" w:cs="Arial"/>
          <w:sz w:val="20"/>
        </w:rPr>
        <w:t xml:space="preserve"> </w:t>
      </w:r>
      <w:r w:rsidRPr="000A1E28">
        <w:rPr>
          <w:rFonts w:ascii="Arial" w:hAnsi="Arial" w:cs="Arial"/>
          <w:sz w:val="20"/>
        </w:rPr>
        <w:t>For example, people who are intolerant to lactose, a sugar that is a component of milk, avoid food products containing milk to avoid the symptoms associated with lactose intolerance. In addition, people who have celiac disease avoid food products containing wheat and other sources of gluten. Control strategies to prevent incorrect labeling of substances associated with a food intolerance or food disorder are analogous to those used to prevent incorrect labeling of food allergens</w:t>
      </w:r>
      <w:r>
        <w:rPr>
          <w:rFonts w:ascii="Arial" w:hAnsi="Arial" w:cs="Arial"/>
          <w:sz w:val="20"/>
        </w:rPr>
        <w:t>.</w:t>
      </w:r>
    </w:p>
    <w:p w14:paraId="73800B67"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Physical hazards (such as stones, glass, and metal fragments). Please see the reference guide for common sources of Physical Hazards.</w:t>
      </w:r>
    </w:p>
    <w:tbl>
      <w:tblPr>
        <w:tblStyle w:val="TableGrid0"/>
        <w:tblW w:w="0" w:type="auto"/>
        <w:tblInd w:w="1255" w:type="dxa"/>
        <w:tblLook w:val="04A0" w:firstRow="1" w:lastRow="0" w:firstColumn="1" w:lastColumn="0" w:noHBand="0" w:noVBand="1"/>
      </w:tblPr>
      <w:tblGrid>
        <w:gridCol w:w="2747"/>
        <w:gridCol w:w="2022"/>
        <w:gridCol w:w="2023"/>
        <w:gridCol w:w="2023"/>
      </w:tblGrid>
      <w:tr w:rsidR="00DE4F1E" w:rsidRPr="00475922" w14:paraId="06C5A2AA" w14:textId="77777777" w:rsidTr="001D4CB0">
        <w:tc>
          <w:tcPr>
            <w:tcW w:w="2747" w:type="dxa"/>
          </w:tcPr>
          <w:p w14:paraId="12426F3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Source</w:t>
            </w:r>
          </w:p>
        </w:tc>
        <w:tc>
          <w:tcPr>
            <w:tcW w:w="2022" w:type="dxa"/>
          </w:tcPr>
          <w:p w14:paraId="19B19A7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Metal – Ferrous &amp; Nonferrous</w:t>
            </w:r>
          </w:p>
        </w:tc>
        <w:tc>
          <w:tcPr>
            <w:tcW w:w="2023" w:type="dxa"/>
          </w:tcPr>
          <w:p w14:paraId="4D7FF9B6"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Plastic, Ceramic, and Glass</w:t>
            </w:r>
          </w:p>
        </w:tc>
        <w:tc>
          <w:tcPr>
            <w:tcW w:w="2023" w:type="dxa"/>
          </w:tcPr>
          <w:p w14:paraId="419B8838"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Other</w:t>
            </w:r>
          </w:p>
        </w:tc>
      </w:tr>
      <w:tr w:rsidR="00DE4F1E" w:rsidRPr="00475922" w14:paraId="3D0E90E0" w14:textId="77777777" w:rsidTr="001D4CB0">
        <w:tc>
          <w:tcPr>
            <w:tcW w:w="2747" w:type="dxa"/>
          </w:tcPr>
          <w:p w14:paraId="66FE10D3"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w:t>
            </w:r>
          </w:p>
        </w:tc>
        <w:tc>
          <w:tcPr>
            <w:tcW w:w="2022" w:type="dxa"/>
          </w:tcPr>
          <w:p w14:paraId="3BD849EA" w14:textId="77777777" w:rsidR="00DE4F1E" w:rsidRPr="00475922" w:rsidRDefault="00DE4F1E" w:rsidP="00537F54">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Farm field debris</w:t>
            </w:r>
          </w:p>
          <w:p w14:paraId="739878FC" w14:textId="77777777" w:rsidR="00DE4F1E" w:rsidRPr="00475922" w:rsidRDefault="00DE4F1E" w:rsidP="00537F54">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Precut, ground, injected, and sliced, items, where the supplier does not properly control metal.</w:t>
            </w:r>
          </w:p>
        </w:tc>
        <w:tc>
          <w:tcPr>
            <w:tcW w:w="2023" w:type="dxa"/>
          </w:tcPr>
          <w:p w14:paraId="3B6659BA" w14:textId="77777777" w:rsidR="00DE4F1E" w:rsidRPr="00475922" w:rsidRDefault="00DE4F1E" w:rsidP="00537F54">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Farm field debris,</w:t>
            </w:r>
          </w:p>
          <w:p w14:paraId="608D09E9" w14:textId="77777777" w:rsidR="00DE4F1E" w:rsidRPr="00475922" w:rsidRDefault="00DE4F1E" w:rsidP="00537F54">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Packaging materials</w:t>
            </w:r>
          </w:p>
        </w:tc>
        <w:tc>
          <w:tcPr>
            <w:tcW w:w="2023" w:type="dxa"/>
          </w:tcPr>
          <w:p w14:paraId="1DC22B94" w14:textId="77777777" w:rsidR="00DE4F1E" w:rsidRPr="00475922" w:rsidRDefault="00DE4F1E" w:rsidP="00537F54">
            <w:pPr>
              <w:pStyle w:val="indent-3"/>
              <w:numPr>
                <w:ilvl w:val="0"/>
                <w:numId w:val="11"/>
              </w:numPr>
              <w:spacing w:before="0" w:beforeAutospacing="0" w:after="0" w:afterAutospacing="0" w:line="276" w:lineRule="auto"/>
              <w:ind w:left="121" w:hanging="180"/>
              <w:rPr>
                <w:rFonts w:ascii="Arial" w:hAnsi="Arial" w:cs="Arial"/>
                <w:sz w:val="20"/>
                <w:szCs w:val="20"/>
              </w:rPr>
            </w:pPr>
            <w:r w:rsidRPr="00475922">
              <w:rPr>
                <w:rFonts w:ascii="Arial" w:hAnsi="Arial" w:cs="Arial"/>
                <w:sz w:val="20"/>
                <w:szCs w:val="20"/>
              </w:rPr>
              <w:t>Pits or pit fragments, shells</w:t>
            </w:r>
          </w:p>
        </w:tc>
      </w:tr>
      <w:tr w:rsidR="00DE4F1E" w:rsidRPr="00475922" w14:paraId="0D506CA0" w14:textId="77777777" w:rsidTr="001D4CB0">
        <w:tc>
          <w:tcPr>
            <w:tcW w:w="2747" w:type="dxa"/>
          </w:tcPr>
          <w:p w14:paraId="72D8BF7B"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Facility-related and process-related processing/production environment, equipment, and pests (insects, birds, rodents, reptiles))</w:t>
            </w:r>
          </w:p>
        </w:tc>
        <w:tc>
          <w:tcPr>
            <w:tcW w:w="2022" w:type="dxa"/>
          </w:tcPr>
          <w:p w14:paraId="0036D749"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Equipment</w:t>
            </w:r>
          </w:p>
          <w:p w14:paraId="52EDB9E6"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Grinders, slicers, knives</w:t>
            </w:r>
          </w:p>
          <w:p w14:paraId="0501971C"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Sieves, screens, wire mesh belts </w:t>
            </w:r>
          </w:p>
          <w:p w14:paraId="290EB3E9"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Mixing paddles</w:t>
            </w:r>
          </w:p>
          <w:p w14:paraId="3418C7F7"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Metal cans (shavings, lids) </w:t>
            </w:r>
          </w:p>
          <w:p w14:paraId="35BC0BCC"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Pumps</w:t>
            </w:r>
          </w:p>
          <w:p w14:paraId="0A1D6C60"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Cook Kettles with swept surface paddles</w:t>
            </w:r>
          </w:p>
          <w:p w14:paraId="25D35B7E"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Drop buckets</w:t>
            </w:r>
          </w:p>
        </w:tc>
        <w:tc>
          <w:tcPr>
            <w:tcW w:w="2023" w:type="dxa"/>
          </w:tcPr>
          <w:p w14:paraId="3869C897"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Equipment (inspection belts, small wares, buckets)</w:t>
            </w:r>
          </w:p>
          <w:p w14:paraId="4D411E33"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Facility (glass light fixtures, glass windows in doors, plastic strip curtains)</w:t>
            </w:r>
          </w:p>
          <w:p w14:paraId="56306018"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Glass containers</w:t>
            </w:r>
          </w:p>
          <w:p w14:paraId="18E36332"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Scoops</w:t>
            </w:r>
          </w:p>
          <w:p w14:paraId="66612CE9"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Mixing paddles</w:t>
            </w:r>
          </w:p>
          <w:p w14:paraId="3904C5E1"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Buckets</w:t>
            </w:r>
          </w:p>
        </w:tc>
        <w:tc>
          <w:tcPr>
            <w:tcW w:w="2023" w:type="dxa"/>
          </w:tcPr>
          <w:p w14:paraId="07281D69" w14:textId="77777777" w:rsidR="00DE4F1E" w:rsidRPr="00475922" w:rsidRDefault="00DE4F1E" w:rsidP="00537F54">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Incomplete removal of pits or pit fragments, shells</w:t>
            </w:r>
          </w:p>
          <w:p w14:paraId="28FD025D" w14:textId="77777777" w:rsidR="00DE4F1E" w:rsidRPr="00475922" w:rsidRDefault="00DE4F1E" w:rsidP="00537F54">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Poor Design -- Particle size of food inappropriate for the consumer – choking hazard</w:t>
            </w:r>
          </w:p>
        </w:tc>
      </w:tr>
      <w:tr w:rsidR="00DE4F1E" w:rsidRPr="00475922" w14:paraId="365CFA24" w14:textId="77777777" w:rsidTr="001D4CB0">
        <w:tc>
          <w:tcPr>
            <w:tcW w:w="2747" w:type="dxa"/>
          </w:tcPr>
          <w:p w14:paraId="6163EA8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People-related (actions or behaviors)</w:t>
            </w:r>
          </w:p>
        </w:tc>
        <w:tc>
          <w:tcPr>
            <w:tcW w:w="2022" w:type="dxa"/>
          </w:tcPr>
          <w:p w14:paraId="51280911" w14:textId="77777777" w:rsidR="00DE4F1E" w:rsidRPr="00475922" w:rsidRDefault="00DE4F1E" w:rsidP="00537F54">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Jewelry</w:t>
            </w:r>
          </w:p>
          <w:p w14:paraId="07F09F7B" w14:textId="77777777" w:rsidR="00DE4F1E" w:rsidRPr="00475922" w:rsidRDefault="00DE4F1E" w:rsidP="00537F54">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Hairpins</w:t>
            </w:r>
          </w:p>
        </w:tc>
        <w:tc>
          <w:tcPr>
            <w:tcW w:w="2023" w:type="dxa"/>
          </w:tcPr>
          <w:p w14:paraId="3522DE0B" w14:textId="77777777" w:rsidR="00DE4F1E" w:rsidRPr="00475922" w:rsidRDefault="00DE4F1E" w:rsidP="00537F54">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Buttons</w:t>
            </w:r>
          </w:p>
          <w:p w14:paraId="15AD13DB" w14:textId="77777777" w:rsidR="00DE4F1E" w:rsidRPr="00475922" w:rsidRDefault="00DE4F1E" w:rsidP="00537F54">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Zipper pulls</w:t>
            </w:r>
          </w:p>
        </w:tc>
        <w:tc>
          <w:tcPr>
            <w:tcW w:w="2023" w:type="dxa"/>
          </w:tcPr>
          <w:p w14:paraId="2BDF7374"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bl>
    <w:p w14:paraId="27F4F81E" w14:textId="77777777" w:rsidR="00DE4F1E" w:rsidRPr="00475922" w:rsidRDefault="00DE4F1E" w:rsidP="00DE4F1E">
      <w:pPr>
        <w:pStyle w:val="indent-3"/>
        <w:tabs>
          <w:tab w:val="left" w:pos="2374"/>
        </w:tabs>
        <w:spacing w:before="0" w:beforeAutospacing="0" w:after="0" w:afterAutospacing="0" w:line="276" w:lineRule="auto"/>
        <w:rPr>
          <w:rFonts w:ascii="Arial" w:hAnsi="Arial" w:cs="Arial"/>
          <w:sz w:val="20"/>
          <w:szCs w:val="20"/>
        </w:rPr>
      </w:pPr>
    </w:p>
    <w:p w14:paraId="7BDF63D9" w14:textId="77777777" w:rsidR="00DE4F1E" w:rsidRPr="00475922" w:rsidRDefault="00DE4F1E" w:rsidP="00537F54">
      <w:pPr>
        <w:pStyle w:val="indent-2"/>
        <w:numPr>
          <w:ilvl w:val="2"/>
          <w:numId w:val="5"/>
        </w:numPr>
        <w:spacing w:before="0" w:beforeAutospacing="0" w:after="0" w:afterAutospacing="0"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include</w:t>
      </w:r>
      <w:r>
        <w:rPr>
          <w:rFonts w:ascii="Arial" w:hAnsi="Arial" w:cs="Arial"/>
          <w:sz w:val="20"/>
          <w:szCs w:val="20"/>
        </w:rPr>
        <w:t>s the</w:t>
      </w:r>
      <w:r w:rsidRPr="00475922">
        <w:rPr>
          <w:rFonts w:ascii="Arial" w:hAnsi="Arial" w:cs="Arial"/>
          <w:sz w:val="20"/>
          <w:szCs w:val="20"/>
        </w:rPr>
        <w:t xml:space="preserve"> known or reasonably foreseeable hazards that may be present in </w:t>
      </w:r>
      <w:r>
        <w:rPr>
          <w:rFonts w:ascii="Arial" w:hAnsi="Arial" w:cs="Arial"/>
          <w:sz w:val="20"/>
          <w:szCs w:val="20"/>
        </w:rPr>
        <w:t>food</w:t>
      </w:r>
      <w:r w:rsidRPr="00475922">
        <w:rPr>
          <w:rFonts w:ascii="Arial" w:hAnsi="Arial" w:cs="Arial"/>
          <w:sz w:val="20"/>
          <w:szCs w:val="20"/>
        </w:rPr>
        <w:t xml:space="preserve"> for any of the following reasons: </w:t>
      </w:r>
    </w:p>
    <w:p w14:paraId="44066A93" w14:textId="77777777" w:rsidR="00DE4F1E" w:rsidRPr="00475922" w:rsidRDefault="00DE4F1E" w:rsidP="00537F54">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The hazard occurs naturally</w:t>
      </w:r>
      <w:r>
        <w:rPr>
          <w:rFonts w:ascii="Arial" w:hAnsi="Arial" w:cs="Arial"/>
          <w:sz w:val="20"/>
          <w:szCs w:val="20"/>
        </w:rPr>
        <w:t>.</w:t>
      </w:r>
    </w:p>
    <w:p w14:paraId="45337539" w14:textId="77777777" w:rsidR="00DE4F1E" w:rsidRPr="00475922" w:rsidRDefault="00DE4F1E" w:rsidP="00537F54">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The hazard may be unintentionally introduced</w:t>
      </w:r>
      <w:r>
        <w:rPr>
          <w:rFonts w:ascii="Arial" w:hAnsi="Arial" w:cs="Arial"/>
          <w:sz w:val="20"/>
          <w:szCs w:val="20"/>
        </w:rPr>
        <w:t>.</w:t>
      </w:r>
    </w:p>
    <w:p w14:paraId="6224F428" w14:textId="77777777" w:rsidR="00DE4F1E" w:rsidRDefault="00DE4F1E" w:rsidP="00537F54">
      <w:pPr>
        <w:pStyle w:val="indent-3"/>
        <w:numPr>
          <w:ilvl w:val="3"/>
          <w:numId w:val="5"/>
        </w:numPr>
        <w:spacing w:line="276" w:lineRule="auto"/>
        <w:ind w:left="1980" w:hanging="720"/>
        <w:jc w:val="both"/>
        <w:rPr>
          <w:rFonts w:ascii="Arial" w:hAnsi="Arial" w:cs="Arial"/>
          <w:sz w:val="20"/>
          <w:szCs w:val="20"/>
        </w:rPr>
      </w:pPr>
      <w:r>
        <w:rPr>
          <w:rFonts w:ascii="Arial" w:hAnsi="Arial" w:cs="Arial"/>
          <w:sz w:val="20"/>
          <w:szCs w:val="20"/>
        </w:rPr>
        <w:t>The hazard may be introduced i</w:t>
      </w:r>
      <w:r w:rsidRPr="00475922">
        <w:rPr>
          <w:rFonts w:ascii="Arial" w:hAnsi="Arial" w:cs="Arial"/>
          <w:sz w:val="20"/>
          <w:szCs w:val="20"/>
        </w:rPr>
        <w:t>ntentionally for purposes of economic gain.</w:t>
      </w:r>
    </w:p>
    <w:p w14:paraId="3EB78450" w14:textId="77777777" w:rsidR="00DE4F1E" w:rsidRDefault="00DE4F1E" w:rsidP="00537F54">
      <w:pPr>
        <w:pStyle w:val="indent-3"/>
        <w:numPr>
          <w:ilvl w:val="1"/>
          <w:numId w:val="5"/>
        </w:numPr>
        <w:spacing w:line="276" w:lineRule="auto"/>
        <w:ind w:left="720" w:hanging="360"/>
        <w:jc w:val="both"/>
        <w:rPr>
          <w:rFonts w:ascii="Arial" w:hAnsi="Arial" w:cs="Arial"/>
          <w:sz w:val="20"/>
          <w:szCs w:val="20"/>
        </w:rPr>
      </w:pPr>
      <w:r>
        <w:rPr>
          <w:rFonts w:ascii="Arial" w:hAnsi="Arial" w:cs="Arial"/>
          <w:sz w:val="20"/>
          <w:szCs w:val="20"/>
        </w:rPr>
        <w:t>Hazard Evaluation</w:t>
      </w:r>
    </w:p>
    <w:p w14:paraId="215BCC7A" w14:textId="77777777" w:rsidR="00DE4F1E" w:rsidRPr="0012264B" w:rsidRDefault="00DE4F1E" w:rsidP="00537F54">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The hazard analysis</w:t>
      </w:r>
      <w:r w:rsidRPr="0012264B">
        <w:rPr>
          <w:rFonts w:ascii="Arial" w:hAnsi="Arial" w:cs="Arial"/>
          <w:sz w:val="20"/>
        </w:rPr>
        <w:t xml:space="preserve"> include</w:t>
      </w:r>
      <w:r>
        <w:rPr>
          <w:rFonts w:ascii="Arial" w:hAnsi="Arial" w:cs="Arial"/>
          <w:sz w:val="20"/>
        </w:rPr>
        <w:t>s</w:t>
      </w:r>
      <w:r w:rsidRPr="0012264B">
        <w:rPr>
          <w:rFonts w:ascii="Arial" w:hAnsi="Arial" w:cs="Arial"/>
          <w:sz w:val="20"/>
        </w:rPr>
        <w:t xml:space="preserve"> an evaluation of</w:t>
      </w:r>
      <w:r>
        <w:rPr>
          <w:rFonts w:ascii="Arial" w:hAnsi="Arial" w:cs="Arial"/>
          <w:sz w:val="20"/>
        </w:rPr>
        <w:t xml:space="preserve"> </w:t>
      </w:r>
      <w:r w:rsidRPr="0012264B">
        <w:rPr>
          <w:rFonts w:ascii="Arial" w:hAnsi="Arial" w:cs="Arial"/>
          <w:sz w:val="20"/>
        </w:rPr>
        <w:t>the hazards identified to assess the probability that the hazard will occur in the absence of controls and the severity of the illness or injury if the hazard were to occur.</w:t>
      </w:r>
    </w:p>
    <w:p w14:paraId="59C02EDF" w14:textId="77777777" w:rsidR="00DE4F1E" w:rsidRPr="005205FE" w:rsidRDefault="00DE4F1E" w:rsidP="00537F54">
      <w:pPr>
        <w:pStyle w:val="indent-3"/>
        <w:numPr>
          <w:ilvl w:val="2"/>
          <w:numId w:val="5"/>
        </w:numPr>
        <w:spacing w:line="276" w:lineRule="auto"/>
        <w:ind w:left="1260" w:hanging="540"/>
        <w:jc w:val="both"/>
        <w:rPr>
          <w:rFonts w:ascii="Arial" w:hAnsi="Arial" w:cs="Arial"/>
          <w:sz w:val="16"/>
          <w:szCs w:val="20"/>
        </w:rPr>
      </w:pPr>
      <w:r w:rsidRPr="005205FE">
        <w:rPr>
          <w:rFonts w:ascii="Arial" w:hAnsi="Arial" w:cs="Arial"/>
          <w:sz w:val="20"/>
        </w:rPr>
        <w:t xml:space="preserve">The hazard evaluation includes an evaluation of environmental pathogens whenever a ready-to-eat food is exposed to the environment before packaging and the packaged food does not receive a </w:t>
      </w:r>
      <w:r w:rsidRPr="005205FE">
        <w:rPr>
          <w:rFonts w:ascii="Arial" w:hAnsi="Arial" w:cs="Arial"/>
          <w:sz w:val="20"/>
        </w:rPr>
        <w:lastRenderedPageBreak/>
        <w:t>treatment or otherwise include a control or measure (such as a formulation lethal to the pathogen) that significantly minimize the pathogen.</w:t>
      </w:r>
    </w:p>
    <w:p w14:paraId="3CD316F3" w14:textId="77777777" w:rsidR="00DE4F1E" w:rsidRPr="0012264B" w:rsidRDefault="00DE4F1E" w:rsidP="00537F54">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 xml:space="preserve">The hazard evaluation </w:t>
      </w:r>
      <w:r w:rsidRPr="0012264B">
        <w:rPr>
          <w:rFonts w:ascii="Arial" w:hAnsi="Arial" w:cs="Arial"/>
          <w:sz w:val="20"/>
        </w:rPr>
        <w:t>consider</w:t>
      </w:r>
      <w:r>
        <w:rPr>
          <w:rFonts w:ascii="Arial" w:hAnsi="Arial" w:cs="Arial"/>
          <w:sz w:val="20"/>
        </w:rPr>
        <w:t>s</w:t>
      </w:r>
      <w:r w:rsidRPr="0012264B">
        <w:rPr>
          <w:rFonts w:ascii="Arial" w:hAnsi="Arial" w:cs="Arial"/>
          <w:sz w:val="20"/>
        </w:rPr>
        <w:t xml:space="preserve"> the effect of the following on the safety of the finished food for the intended consumer:</w:t>
      </w:r>
    </w:p>
    <w:p w14:paraId="09243E60"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The formulation of the food</w:t>
      </w:r>
      <w:r>
        <w:rPr>
          <w:rFonts w:ascii="Arial" w:hAnsi="Arial" w:cs="Arial"/>
          <w:sz w:val="20"/>
          <w:szCs w:val="20"/>
        </w:rPr>
        <w:t>.</w:t>
      </w:r>
    </w:p>
    <w:p w14:paraId="4E799109"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The condition, function, and design of the establishment and equipment of a typical entity that manufactures/processes, grows, harvests, or raises this type of food</w:t>
      </w:r>
      <w:r>
        <w:rPr>
          <w:rFonts w:ascii="Arial" w:hAnsi="Arial" w:cs="Arial"/>
          <w:sz w:val="20"/>
          <w:szCs w:val="20"/>
        </w:rPr>
        <w:t>.</w:t>
      </w:r>
    </w:p>
    <w:p w14:paraId="28BDEDE6"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195C4C0D"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04DE4ABF"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Transportation practices</w:t>
      </w:r>
      <w:r>
        <w:rPr>
          <w:rFonts w:ascii="Arial" w:hAnsi="Arial" w:cs="Arial"/>
          <w:sz w:val="20"/>
          <w:szCs w:val="20"/>
        </w:rPr>
        <w:t>.</w:t>
      </w:r>
    </w:p>
    <w:p w14:paraId="5EE62174"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Harvesting, raising, manufacturing, processing, and packing procedures</w:t>
      </w:r>
      <w:r>
        <w:rPr>
          <w:rFonts w:ascii="Arial" w:hAnsi="Arial" w:cs="Arial"/>
          <w:sz w:val="20"/>
          <w:szCs w:val="20"/>
        </w:rPr>
        <w:t>.</w:t>
      </w:r>
    </w:p>
    <w:p w14:paraId="3D9E5574"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Packaging and labeling activities</w:t>
      </w:r>
      <w:r>
        <w:rPr>
          <w:rFonts w:ascii="Arial" w:hAnsi="Arial" w:cs="Arial"/>
          <w:sz w:val="20"/>
          <w:szCs w:val="20"/>
        </w:rPr>
        <w:t>.</w:t>
      </w:r>
    </w:p>
    <w:p w14:paraId="7E4115B5"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Storage and distribution</w:t>
      </w:r>
      <w:r>
        <w:rPr>
          <w:rFonts w:ascii="Arial" w:hAnsi="Arial" w:cs="Arial"/>
          <w:sz w:val="20"/>
          <w:szCs w:val="20"/>
        </w:rPr>
        <w:t>.</w:t>
      </w:r>
    </w:p>
    <w:p w14:paraId="21EAC767"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Intended or reasonably foreseeable use</w:t>
      </w:r>
      <w:r>
        <w:rPr>
          <w:rFonts w:ascii="Arial" w:hAnsi="Arial" w:cs="Arial"/>
          <w:sz w:val="20"/>
          <w:szCs w:val="20"/>
        </w:rPr>
        <w:t>.</w:t>
      </w:r>
    </w:p>
    <w:p w14:paraId="46F07DA1"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Sanitation, including employee hygiene</w:t>
      </w:r>
      <w:r>
        <w:rPr>
          <w:rFonts w:ascii="Arial" w:hAnsi="Arial" w:cs="Arial"/>
          <w:sz w:val="20"/>
          <w:szCs w:val="20"/>
        </w:rPr>
        <w:t>.</w:t>
      </w:r>
    </w:p>
    <w:p w14:paraId="131060B5" w14:textId="77777777" w:rsidR="00DE4F1E" w:rsidRDefault="00DE4F1E" w:rsidP="00537F54">
      <w:pPr>
        <w:pStyle w:val="indent-3"/>
        <w:numPr>
          <w:ilvl w:val="3"/>
          <w:numId w:val="5"/>
        </w:numPr>
        <w:spacing w:before="0" w:beforeAutospacing="0" w:after="0" w:afterAutospacing="0" w:line="276" w:lineRule="auto"/>
        <w:ind w:left="2070" w:hanging="810"/>
        <w:jc w:val="both"/>
        <w:rPr>
          <w:rFonts w:ascii="Arial" w:hAnsi="Arial" w:cs="Arial"/>
          <w:sz w:val="20"/>
          <w:szCs w:val="20"/>
        </w:rPr>
      </w:pPr>
      <w:r w:rsidRPr="0012264B">
        <w:rPr>
          <w:rFonts w:ascii="Arial" w:hAnsi="Arial" w:cs="Arial"/>
          <w:sz w:val="20"/>
          <w:szCs w:val="20"/>
        </w:rPr>
        <w:t>Any other relevant factors, such as the temporal (</w:t>
      </w:r>
      <w:r w:rsidRPr="0012264B">
        <w:rPr>
          <w:rStyle w:val="Emphasis"/>
          <w:rFonts w:ascii="Arial" w:hAnsi="Arial" w:cs="Arial"/>
          <w:sz w:val="20"/>
          <w:szCs w:val="20"/>
        </w:rPr>
        <w:t>e.g.,</w:t>
      </w:r>
      <w:r w:rsidRPr="0012264B">
        <w:rPr>
          <w:rFonts w:ascii="Arial" w:hAnsi="Arial" w:cs="Arial"/>
          <w:sz w:val="20"/>
          <w:szCs w:val="20"/>
        </w:rPr>
        <w:t xml:space="preserve"> weather-related) nature of some hazards (</w:t>
      </w:r>
      <w:r w:rsidRPr="005A1248">
        <w:rPr>
          <w:rStyle w:val="Emphasis"/>
          <w:rFonts w:ascii="Arial" w:hAnsi="Arial" w:cs="Arial"/>
          <w:sz w:val="20"/>
          <w:szCs w:val="20"/>
        </w:rPr>
        <w:t>e.g.,</w:t>
      </w:r>
      <w:r w:rsidRPr="005A1248">
        <w:rPr>
          <w:rFonts w:ascii="Arial" w:hAnsi="Arial" w:cs="Arial"/>
          <w:i/>
          <w:sz w:val="20"/>
          <w:szCs w:val="20"/>
        </w:rPr>
        <w:t xml:space="preserve"> </w:t>
      </w:r>
      <w:r w:rsidRPr="0012264B">
        <w:rPr>
          <w:rFonts w:ascii="Arial" w:hAnsi="Arial" w:cs="Arial"/>
          <w:sz w:val="20"/>
          <w:szCs w:val="20"/>
        </w:rPr>
        <w:t>levels of natural toxins).</w:t>
      </w:r>
      <w:r w:rsidRPr="005A1248">
        <w:rPr>
          <w:rFonts w:ascii="Arial" w:hAnsi="Arial" w:cs="Arial"/>
          <w:sz w:val="20"/>
          <w:szCs w:val="20"/>
        </w:rPr>
        <w:tab/>
      </w:r>
    </w:p>
    <w:p w14:paraId="765AC3B6" w14:textId="77777777" w:rsidR="00DE4F1E" w:rsidRPr="00524DE9" w:rsidRDefault="00DE4F1E" w:rsidP="00DE4F1E">
      <w:pPr>
        <w:pStyle w:val="indent-3"/>
        <w:spacing w:before="0" w:beforeAutospacing="0" w:after="0" w:afterAutospacing="0" w:line="276" w:lineRule="auto"/>
        <w:ind w:left="1260"/>
        <w:jc w:val="both"/>
        <w:rPr>
          <w:rFonts w:ascii="Arial" w:hAnsi="Arial" w:cs="Arial"/>
          <w:sz w:val="20"/>
          <w:szCs w:val="20"/>
        </w:rPr>
      </w:pPr>
    </w:p>
    <w:p w14:paraId="50897C4C" w14:textId="457254C3" w:rsidR="00FC0155" w:rsidRDefault="00FC0155" w:rsidP="00685B42">
      <w:pPr>
        <w:ind w:left="0" w:firstLine="0"/>
      </w:pPr>
    </w:p>
    <w:p w14:paraId="4E2A9EEC" w14:textId="541F94A8" w:rsidR="00FC0155" w:rsidRDefault="00FC0155" w:rsidP="00FC0155"/>
    <w:p w14:paraId="5A96D176" w14:textId="66EE934D" w:rsidR="00FC0155" w:rsidRDefault="00FC0155" w:rsidP="00FC0155"/>
    <w:p w14:paraId="6995DF57" w14:textId="35A5FBCD" w:rsidR="00FC0155" w:rsidRDefault="00FC0155" w:rsidP="00FC0155"/>
    <w:p w14:paraId="3BB9B03B" w14:textId="77777777" w:rsidR="00FC0155" w:rsidRPr="00FC0155" w:rsidRDefault="00FC0155" w:rsidP="00FC0155"/>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055BCE82" w14:textId="65B6EA61" w:rsidR="00133A17" w:rsidRDefault="00B02E69" w:rsidP="002F24F2">
      <w:pPr>
        <w:pStyle w:val="Heading2"/>
        <w:ind w:left="0"/>
        <w:jc w:val="both"/>
        <w:rPr>
          <w:i/>
        </w:rPr>
      </w:pPr>
      <w:r w:rsidRPr="00926CAF">
        <w:rPr>
          <w:i/>
        </w:rPr>
        <w:t xml:space="preserve"> </w:t>
      </w:r>
    </w:p>
    <w:p w14:paraId="354A81DA" w14:textId="77777777" w:rsidR="002B03D5" w:rsidRPr="002B03D5" w:rsidRDefault="002B03D5" w:rsidP="002B03D5"/>
    <w:p w14:paraId="58C758E7" w14:textId="77777777" w:rsidR="00133A17" w:rsidRPr="00926CAF" w:rsidRDefault="00133A17">
      <w:pPr>
        <w:spacing w:after="0" w:line="259" w:lineRule="auto"/>
        <w:ind w:left="0" w:firstLine="0"/>
        <w:jc w:val="left"/>
      </w:pPr>
    </w:p>
    <w:sectPr w:rsidR="00133A17" w:rsidRPr="00926CAF" w:rsidSect="00D47E1A">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05F61" w14:textId="77777777" w:rsidR="00760EB8" w:rsidRDefault="00760EB8">
      <w:pPr>
        <w:spacing w:after="0" w:line="240" w:lineRule="auto"/>
      </w:pPr>
      <w:r>
        <w:separator/>
      </w:r>
    </w:p>
  </w:endnote>
  <w:endnote w:type="continuationSeparator" w:id="0">
    <w:p w14:paraId="056F3EC1" w14:textId="77777777" w:rsidR="00760EB8" w:rsidRDefault="0076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F9A8C" w14:textId="5F6F75B6" w:rsidR="00133A17" w:rsidRPr="00FC0155" w:rsidRDefault="00B02E69">
    <w:pPr>
      <w:tabs>
        <w:tab w:val="center" w:pos="4883"/>
        <w:tab w:val="right" w:pos="10082"/>
      </w:tabs>
      <w:spacing w:after="22" w:line="259" w:lineRule="auto"/>
      <w:ind w:left="0" w:firstLine="0"/>
      <w:jc w:val="left"/>
      <w:rPr>
        <w:lang w:val="es-419"/>
      </w:rPr>
    </w:pPr>
    <w:r w:rsidRPr="00FC0155">
      <w:rPr>
        <w:sz w:val="18"/>
        <w:szCs w:val="18"/>
        <w:lang w:val="es-419"/>
      </w:rPr>
      <w:tab/>
    </w:r>
    <w:r w:rsidRPr="00FC0155">
      <w:rPr>
        <w:b/>
        <w:sz w:val="18"/>
        <w:szCs w:val="18"/>
        <w:lang w:val="es-419"/>
      </w:rPr>
      <w:tab/>
    </w:r>
  </w:p>
  <w:p w14:paraId="5028E4AB" w14:textId="5D17A605" w:rsidR="00133A17" w:rsidRPr="00FC0155" w:rsidRDefault="00133A17">
    <w:pPr>
      <w:spacing w:after="21" w:line="259" w:lineRule="auto"/>
      <w:ind w:left="0" w:right="320" w:firstLine="0"/>
      <w:jc w:val="center"/>
      <w:rPr>
        <w:lang w:val="es-419"/>
      </w:rPr>
    </w:pPr>
  </w:p>
  <w:p w14:paraId="4BD95F0B" w14:textId="77777777" w:rsidR="00133A17" w:rsidRPr="00FC0155" w:rsidRDefault="00B02E69">
    <w:pPr>
      <w:spacing w:after="0" w:line="259" w:lineRule="auto"/>
      <w:ind w:left="0" w:firstLine="0"/>
      <w:jc w:val="left"/>
      <w:rPr>
        <w:lang w:val="es-419"/>
      </w:rPr>
    </w:pPr>
    <w:r w:rsidRPr="00FC0155">
      <w:rPr>
        <w:sz w:val="22"/>
        <w:szCs w:val="22"/>
        <w:lang w:val="es-4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2699"/>
      <w:gridCol w:w="4230"/>
      <w:gridCol w:w="3151"/>
    </w:tblGrid>
    <w:tr w:rsidR="00FC0155" w:rsidRPr="003C5182" w14:paraId="4FB0465B" w14:textId="77777777" w:rsidTr="0009348F">
      <w:trPr>
        <w:trHeight w:val="432"/>
      </w:trPr>
      <w:tc>
        <w:tcPr>
          <w:tcW w:w="1339" w:type="pct"/>
        </w:tcPr>
        <w:p w14:paraId="0603D4D2" w14:textId="3FB65DCC" w:rsidR="00FC0155" w:rsidRPr="003C5182" w:rsidRDefault="00FC0155" w:rsidP="00FC0155">
          <w:pPr>
            <w:pStyle w:val="Footer"/>
            <w:spacing w:line="276" w:lineRule="auto"/>
            <w:rPr>
              <w:sz w:val="18"/>
              <w:szCs w:val="18"/>
              <w:highlight w:val="yellow"/>
            </w:rPr>
          </w:pPr>
        </w:p>
      </w:tc>
      <w:tc>
        <w:tcPr>
          <w:tcW w:w="2098" w:type="pct"/>
        </w:tcPr>
        <w:p w14:paraId="4000B0AE" w14:textId="1EF5D07F" w:rsidR="00FC0155" w:rsidRPr="00685B42" w:rsidRDefault="00685B42" w:rsidP="00FC0155">
          <w:pPr>
            <w:pStyle w:val="p1"/>
            <w:spacing w:line="276" w:lineRule="auto"/>
            <w:jc w:val="center"/>
            <w:rPr>
              <w:rFonts w:ascii="Arial" w:hAnsi="Arial" w:cs="Arial"/>
            </w:rPr>
          </w:pPr>
          <w:r w:rsidRPr="00685B42">
            <w:rPr>
              <w:rFonts w:ascii="Arial" w:hAnsi="Arial" w:cs="Arial"/>
            </w:rPr>
            <w:t>360 Co.</w:t>
          </w:r>
        </w:p>
      </w:tc>
      <w:tc>
        <w:tcPr>
          <w:tcW w:w="1563" w:type="pct"/>
        </w:tcPr>
        <w:p w14:paraId="7586CE96" w14:textId="574C4B89" w:rsidR="00FC0155" w:rsidRPr="003C5182" w:rsidRDefault="00FC0155" w:rsidP="00FC0155">
          <w:pPr>
            <w:pStyle w:val="Footer"/>
            <w:spacing w:line="276" w:lineRule="auto"/>
            <w:ind w:left="880"/>
            <w:jc w:val="right"/>
            <w:rPr>
              <w:sz w:val="18"/>
              <w:szCs w:val="18"/>
            </w:rPr>
          </w:pPr>
        </w:p>
      </w:tc>
    </w:tr>
  </w:tbl>
  <w:p w14:paraId="18656C98" w14:textId="77777777" w:rsidR="00FC0155" w:rsidRDefault="00FC0155" w:rsidP="00FC0155">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D09CC" w14:textId="6B646D94" w:rsidR="00133A17" w:rsidRPr="00FC0155" w:rsidRDefault="00B02E69">
    <w:pPr>
      <w:tabs>
        <w:tab w:val="center" w:pos="4883"/>
        <w:tab w:val="right" w:pos="10082"/>
      </w:tabs>
      <w:spacing w:after="22" w:line="259" w:lineRule="auto"/>
      <w:ind w:left="0" w:firstLine="0"/>
      <w:jc w:val="left"/>
      <w:rPr>
        <w:lang w:val="es-419"/>
      </w:rPr>
    </w:pPr>
    <w:r w:rsidRPr="00FC0155">
      <w:rPr>
        <w:sz w:val="18"/>
        <w:szCs w:val="18"/>
        <w:lang w:val="es-419"/>
      </w:rPr>
      <w:tab/>
    </w:r>
    <w:r w:rsidRPr="00FC0155">
      <w:rPr>
        <w:b/>
        <w:sz w:val="18"/>
        <w:szCs w:val="18"/>
        <w:lang w:val="es-419"/>
      </w:rPr>
      <w:t xml:space="preserve">. </w:t>
    </w:r>
    <w:r w:rsidRPr="00FC0155">
      <w:rPr>
        <w:b/>
        <w:sz w:val="18"/>
        <w:szCs w:val="18"/>
        <w:lang w:val="es-419"/>
      </w:rPr>
      <w:tab/>
    </w:r>
    <w:r w:rsidRPr="00FC0155">
      <w:rPr>
        <w:sz w:val="18"/>
        <w:szCs w:val="18"/>
        <w:lang w:val="es-419"/>
      </w:rPr>
      <w:t>-</w:t>
    </w:r>
  </w:p>
  <w:p w14:paraId="5BBDB5BE" w14:textId="3036E51F" w:rsidR="00133A17" w:rsidRPr="00FC0155" w:rsidRDefault="00133A17">
    <w:pPr>
      <w:spacing w:after="21" w:line="259" w:lineRule="auto"/>
      <w:ind w:left="0" w:right="320" w:firstLine="0"/>
      <w:jc w:val="center"/>
      <w:rPr>
        <w:lang w:val="es-419"/>
      </w:rPr>
    </w:pPr>
  </w:p>
  <w:p w14:paraId="17F223AD" w14:textId="77777777" w:rsidR="00133A17" w:rsidRPr="00FC0155" w:rsidRDefault="00B02E69">
    <w:pPr>
      <w:spacing w:after="0" w:line="259" w:lineRule="auto"/>
      <w:ind w:left="0" w:firstLine="0"/>
      <w:jc w:val="left"/>
      <w:rPr>
        <w:lang w:val="es-419"/>
      </w:rPr>
    </w:pPr>
    <w:r w:rsidRPr="00FC0155">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0D879" w14:textId="77777777" w:rsidR="00760EB8" w:rsidRDefault="00760EB8">
      <w:pPr>
        <w:spacing w:after="0" w:line="240" w:lineRule="auto"/>
      </w:pPr>
      <w:r>
        <w:separator/>
      </w:r>
    </w:p>
  </w:footnote>
  <w:footnote w:type="continuationSeparator" w:id="0">
    <w:p w14:paraId="6828947B" w14:textId="77777777" w:rsidR="00760EB8" w:rsidRDefault="0076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73F66" w14:textId="77777777" w:rsidR="00FC0155" w:rsidRDefault="00FC0155" w:rsidP="00FC0155">
    <w:pPr>
      <w:pStyle w:val="Header"/>
      <w:rPr>
        <w:rFonts w:ascii="Arial" w:hAnsi="Arial" w:cs="Arial"/>
        <w:noProof/>
        <w:highlight w:val="yellow"/>
      </w:rPr>
    </w:pPr>
  </w:p>
  <w:p w14:paraId="5FB934EC" w14:textId="77777777" w:rsidR="00FC0155" w:rsidRDefault="00FC0155" w:rsidP="00FC0155">
    <w:pPr>
      <w:pStyle w:val="Header"/>
    </w:pPr>
  </w:p>
  <w:p w14:paraId="0A4FB5A2" w14:textId="3CD6077A" w:rsidR="00133A17" w:rsidRPr="00323C55" w:rsidRDefault="00133A17" w:rsidP="00FC0155">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A108E6"/>
    <w:multiLevelType w:val="hybridMultilevel"/>
    <w:tmpl w:val="FB7ED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C6A30"/>
    <w:multiLevelType w:val="hybridMultilevel"/>
    <w:tmpl w:val="D1264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E2C89"/>
    <w:multiLevelType w:val="hybridMultilevel"/>
    <w:tmpl w:val="2F58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1A00AF"/>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033E5E"/>
    <w:multiLevelType w:val="hybridMultilevel"/>
    <w:tmpl w:val="9C66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7C392C"/>
    <w:multiLevelType w:val="hybridMultilevel"/>
    <w:tmpl w:val="08F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330F1A"/>
    <w:multiLevelType w:val="hybridMultilevel"/>
    <w:tmpl w:val="5CE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745E25"/>
    <w:multiLevelType w:val="hybridMultilevel"/>
    <w:tmpl w:val="CA6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1F25C4"/>
    <w:multiLevelType w:val="hybridMultilevel"/>
    <w:tmpl w:val="00B0D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B2251F"/>
    <w:multiLevelType w:val="hybridMultilevel"/>
    <w:tmpl w:val="ED0C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227500"/>
    <w:multiLevelType w:val="hybridMultilevel"/>
    <w:tmpl w:val="ABC2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1D7381"/>
    <w:multiLevelType w:val="hybridMultilevel"/>
    <w:tmpl w:val="F06E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687247"/>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45471504">
    <w:abstractNumId w:val="10"/>
  </w:num>
  <w:num w:numId="2" w16cid:durableId="1642930026">
    <w:abstractNumId w:val="6"/>
  </w:num>
  <w:num w:numId="3" w16cid:durableId="518199205">
    <w:abstractNumId w:val="0"/>
  </w:num>
  <w:num w:numId="4" w16cid:durableId="174615803">
    <w:abstractNumId w:val="12"/>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5" w16cid:durableId="739670259">
    <w:abstractNumId w:val="12"/>
    <w:lvlOverride w:ilvl="0">
      <w:lvl w:ilvl="0">
        <w:start w:val="1"/>
        <w:numFmt w:val="decimal"/>
        <w:lvlText w:val="%1."/>
        <w:lvlJc w:val="left"/>
        <w:pPr>
          <w:ind w:left="360" w:hanging="360"/>
        </w:pPr>
        <w:rPr>
          <w:sz w:val="20"/>
        </w:r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rPr>
          <w:sz w:val="20"/>
          <w:szCs w:val="20"/>
        </w:r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rPr>
          <w:sz w:val="20"/>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 w16cid:durableId="681132360">
    <w:abstractNumId w:val="2"/>
  </w:num>
  <w:num w:numId="7" w16cid:durableId="1462531001">
    <w:abstractNumId w:val="9"/>
  </w:num>
  <w:num w:numId="8" w16cid:durableId="1412317826">
    <w:abstractNumId w:val="5"/>
  </w:num>
  <w:num w:numId="9" w16cid:durableId="1837261683">
    <w:abstractNumId w:val="7"/>
  </w:num>
  <w:num w:numId="10" w16cid:durableId="324020331">
    <w:abstractNumId w:val="1"/>
  </w:num>
  <w:num w:numId="11" w16cid:durableId="1470054154">
    <w:abstractNumId w:val="8"/>
  </w:num>
  <w:num w:numId="12" w16cid:durableId="1984577426">
    <w:abstractNumId w:val="3"/>
  </w:num>
  <w:num w:numId="13" w16cid:durableId="1858423520">
    <w:abstractNumId w:val="13"/>
  </w:num>
  <w:num w:numId="14" w16cid:durableId="13270341">
    <w:abstractNumId w:val="14"/>
  </w:num>
  <w:num w:numId="15" w16cid:durableId="966664998">
    <w:abstractNumId w:val="11"/>
  </w:num>
  <w:num w:numId="16" w16cid:durableId="1708917796">
    <w:abstractNumId w:val="15"/>
  </w:num>
  <w:num w:numId="17" w16cid:durableId="1392852935">
    <w:abstractNumId w:val="4"/>
  </w:num>
  <w:num w:numId="18" w16cid:durableId="143544384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B03D5"/>
    <w:rsid w:val="002C2097"/>
    <w:rsid w:val="002C65B6"/>
    <w:rsid w:val="002D0F7A"/>
    <w:rsid w:val="002E36DB"/>
    <w:rsid w:val="002F24F2"/>
    <w:rsid w:val="003115EC"/>
    <w:rsid w:val="00314DFA"/>
    <w:rsid w:val="00323C55"/>
    <w:rsid w:val="00341467"/>
    <w:rsid w:val="00351781"/>
    <w:rsid w:val="00357FA6"/>
    <w:rsid w:val="003B157E"/>
    <w:rsid w:val="003C21C0"/>
    <w:rsid w:val="003F5568"/>
    <w:rsid w:val="00401F63"/>
    <w:rsid w:val="0040209C"/>
    <w:rsid w:val="004306B5"/>
    <w:rsid w:val="0044085C"/>
    <w:rsid w:val="00462752"/>
    <w:rsid w:val="004A3CF1"/>
    <w:rsid w:val="004A421E"/>
    <w:rsid w:val="004B373C"/>
    <w:rsid w:val="004B5B0C"/>
    <w:rsid w:val="004D78AA"/>
    <w:rsid w:val="00537F54"/>
    <w:rsid w:val="00553A7F"/>
    <w:rsid w:val="0055539F"/>
    <w:rsid w:val="00556280"/>
    <w:rsid w:val="00591B07"/>
    <w:rsid w:val="00593D4A"/>
    <w:rsid w:val="005965B9"/>
    <w:rsid w:val="005C41C0"/>
    <w:rsid w:val="005C462C"/>
    <w:rsid w:val="005C57EF"/>
    <w:rsid w:val="005C5ED3"/>
    <w:rsid w:val="005C6DC2"/>
    <w:rsid w:val="00646E99"/>
    <w:rsid w:val="00662BED"/>
    <w:rsid w:val="0068318A"/>
    <w:rsid w:val="00685B42"/>
    <w:rsid w:val="006B2DD1"/>
    <w:rsid w:val="006C1F8A"/>
    <w:rsid w:val="006F54F0"/>
    <w:rsid w:val="00740886"/>
    <w:rsid w:val="007519DE"/>
    <w:rsid w:val="00760EB8"/>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96442"/>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56824"/>
    <w:rsid w:val="00A83C45"/>
    <w:rsid w:val="00A8687C"/>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378"/>
    <w:rsid w:val="00C73754"/>
    <w:rsid w:val="00C867DC"/>
    <w:rsid w:val="00CD248B"/>
    <w:rsid w:val="00CF2E62"/>
    <w:rsid w:val="00D1614A"/>
    <w:rsid w:val="00D16DE2"/>
    <w:rsid w:val="00D26C05"/>
    <w:rsid w:val="00D26C51"/>
    <w:rsid w:val="00D36439"/>
    <w:rsid w:val="00D418BB"/>
    <w:rsid w:val="00D47E1A"/>
    <w:rsid w:val="00D5454E"/>
    <w:rsid w:val="00D66AB4"/>
    <w:rsid w:val="00D762AB"/>
    <w:rsid w:val="00D81C83"/>
    <w:rsid w:val="00D90482"/>
    <w:rsid w:val="00DB27CF"/>
    <w:rsid w:val="00DB3354"/>
    <w:rsid w:val="00DE03D6"/>
    <w:rsid w:val="00DE4F1E"/>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0155"/>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qForma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indent-2">
    <w:name w:val="indent-2"/>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customStyle="1" w:styleId="indent-3">
    <w:name w:val="indent-3"/>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table" w:styleId="TableGrid0">
    <w:name w:val="Table Grid"/>
    <w:basedOn w:val="TableNormal"/>
    <w:uiPriority w:val="39"/>
    <w:rsid w:val="00DE4F1E"/>
    <w:pPr>
      <w:spacing w:after="0" w:line="240" w:lineRule="auto"/>
      <w:ind w:left="0"/>
      <w:jc w:val="left"/>
    </w:pPr>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4F1E"/>
    <w:rPr>
      <w:i/>
      <w:iCs/>
    </w:rPr>
  </w:style>
  <w:style w:type="paragraph" w:styleId="Header">
    <w:name w:val="header"/>
    <w:basedOn w:val="Normal"/>
    <w:link w:val="HeaderChar"/>
    <w:uiPriority w:val="99"/>
    <w:unhideWhenUsed/>
    <w:rsid w:val="00FC0155"/>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FC0155"/>
    <w:rPr>
      <w:rFonts w:asciiTheme="minorHAnsi" w:eastAsiaTheme="minorHAnsi" w:hAnsiTheme="minorHAnsi" w:cstheme="minorBidi"/>
      <w:sz w:val="22"/>
      <w:szCs w:val="22"/>
    </w:rPr>
  </w:style>
  <w:style w:type="paragraph" w:customStyle="1" w:styleId="p1">
    <w:name w:val="p1"/>
    <w:basedOn w:val="Normal"/>
    <w:rsid w:val="00FC0155"/>
    <w:pPr>
      <w:spacing w:after="0" w:line="240" w:lineRule="auto"/>
      <w:ind w:left="0" w:firstLine="0"/>
      <w:jc w:val="left"/>
    </w:pPr>
    <w:rPr>
      <w:rFonts w:ascii="Helvetica" w:eastAsia="Times New Roman" w:hAnsi="Helvetica"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Diana Rondilla</cp:lastModifiedBy>
  <cp:revision>3</cp:revision>
  <dcterms:created xsi:type="dcterms:W3CDTF">2024-01-26T14:43:00Z</dcterms:created>
  <dcterms:modified xsi:type="dcterms:W3CDTF">2024-05-30T17:46:00Z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