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0AD165CC" w:rsidR="00B9147B" w:rsidRDefault="00606CB8" w:rsidP="005334BF">
      <w:pPr>
        <w:pStyle w:val="Header"/>
        <w:tabs>
          <w:tab w:val="clear" w:pos="9026"/>
        </w:tabs>
        <w:jc w:val="center"/>
        <w:rPr>
          <w:b/>
        </w:rPr>
      </w:pPr>
      <w:r>
        <w:rPr>
          <w:b/>
        </w:rPr>
        <w:t xml:space="preserve"> </w:t>
      </w:r>
      <w:r w:rsidR="00AB7B88">
        <w:rPr>
          <w:b/>
        </w:rPr>
        <w:t>Food Legislation</w:t>
      </w:r>
      <w:r w:rsidR="00C10B85">
        <w:rPr>
          <w:b/>
        </w:rPr>
        <w:t xml:space="preserve"> Lesson</w:t>
      </w:r>
    </w:p>
    <w:p w14:paraId="055248B3" w14:textId="6FA8E2B8" w:rsidR="00A42780" w:rsidRDefault="00A42780" w:rsidP="005334BF">
      <w:pPr>
        <w:contextualSpacing/>
        <w:jc w:val="both"/>
        <w:rPr>
          <w:sz w:val="20"/>
          <w:szCs w:val="20"/>
        </w:rPr>
      </w:pPr>
    </w:p>
    <w:p w14:paraId="12CD09F7" w14:textId="77777777" w:rsidR="00F96C9E" w:rsidRDefault="00F96C9E" w:rsidP="005334BF">
      <w:pPr>
        <w:numPr>
          <w:ilvl w:val="0"/>
          <w:numId w:val="19"/>
        </w:numPr>
        <w:jc w:val="both"/>
        <w:rPr>
          <w:sz w:val="20"/>
          <w:szCs w:val="20"/>
        </w:rPr>
      </w:pPr>
      <w:r>
        <w:rPr>
          <w:sz w:val="20"/>
          <w:szCs w:val="20"/>
        </w:rPr>
        <w:t>Policy</w:t>
      </w:r>
    </w:p>
    <w:p w14:paraId="5F03F90F"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The company has an established Good Manufacturing Practices system to comply with the relevant regulatory and statutory requirements.</w:t>
      </w:r>
    </w:p>
    <w:p w14:paraId="3676945C"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The company has the resources needed to have conditions that will protect food against physical, chemical, and microbial contamination and deterioration of the food and the container.</w:t>
      </w:r>
    </w:p>
    <w:p w14:paraId="7E265413"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The company has an established program for information dissemination and updating documents based on changes in relevant standards and emerging issues.</w:t>
      </w:r>
    </w:p>
    <w:p w14:paraId="1F74681F"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The company has the means to communicate and notify SQFI in case of regulatory warnings and violations.</w:t>
      </w:r>
    </w:p>
    <w:p w14:paraId="4FCB339E" w14:textId="77777777" w:rsidR="00F96C9E" w:rsidRDefault="00F96C9E" w:rsidP="005334BF">
      <w:pPr>
        <w:ind w:left="1247"/>
        <w:contextualSpacing/>
        <w:jc w:val="both"/>
        <w:rPr>
          <w:sz w:val="20"/>
          <w:szCs w:val="20"/>
        </w:rPr>
      </w:pPr>
    </w:p>
    <w:p w14:paraId="418823BE" w14:textId="77777777" w:rsidR="00F96C9E" w:rsidRDefault="00F96C9E" w:rsidP="005334BF">
      <w:pPr>
        <w:numPr>
          <w:ilvl w:val="0"/>
          <w:numId w:val="19"/>
        </w:numPr>
        <w:jc w:val="both"/>
        <w:rPr>
          <w:sz w:val="20"/>
          <w:szCs w:val="20"/>
        </w:rPr>
      </w:pPr>
      <w:r>
        <w:rPr>
          <w:sz w:val="20"/>
          <w:szCs w:val="20"/>
        </w:rPr>
        <w:t>Procedures</w:t>
      </w:r>
    </w:p>
    <w:p w14:paraId="1ED006B8" w14:textId="77777777" w:rsidR="00F96C9E" w:rsidRDefault="00F96C9E" w:rsidP="005334BF">
      <w:pPr>
        <w:numPr>
          <w:ilvl w:val="1"/>
          <w:numId w:val="19"/>
        </w:numPr>
        <w:ind w:left="1170" w:hanging="90"/>
        <w:contextualSpacing/>
        <w:jc w:val="both"/>
        <w:rPr>
          <w:sz w:val="20"/>
          <w:szCs w:val="20"/>
        </w:rPr>
      </w:pPr>
      <w:r>
        <w:rPr>
          <w:sz w:val="20"/>
          <w:szCs w:val="20"/>
        </w:rPr>
        <w:t>Compliance with legislative requirements</w:t>
      </w:r>
    </w:p>
    <w:p w14:paraId="2D9E7A64"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Food Facility Registration</w:t>
      </w:r>
    </w:p>
    <w:p w14:paraId="33CA14FD"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A food facility submits an initial registration to the FDA only once. However, section 415(a)(3) of the FD&amp;C Act, as amended by section 102 of the Food Safety Modernization Act (FSMA), requires the facility to renew its registration with FDA every other year during the period beginning on October 1 and ending on December 31 of each even-numbered year. </w:t>
      </w:r>
    </w:p>
    <w:p w14:paraId="6A93EC66"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Food Imports</w:t>
      </w:r>
    </w:p>
    <w:p w14:paraId="47E0F1A0"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Ensure that food imported into the United States meets the same laws and regulations as food produced in the United States. Products are safe and contain no prohibited ingredients, all labeling and packaging are informative and truthful, and labeling information is in English.</w:t>
      </w:r>
    </w:p>
    <w:p w14:paraId="1BA26889"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Prior Notice</w:t>
      </w:r>
    </w:p>
    <w:p w14:paraId="40910857"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Provide Prior Notice for all food for humans and animals that is imported or offered for import into the United States (Title 21 Code of Federal Regulations (21 CFR), Part 1, Subpart I). Prior notice can be provided in one of two ways:</w:t>
      </w:r>
    </w:p>
    <w:p w14:paraId="16F9D0C4"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t xml:space="preserve">The U.S. Customs and Border Protection (CBP, formerly the U.S. Customs Service) modified the Automated Broker Interface of the Automated Commercial Environment (ABI/ACE) to allow prior notice to be submitted to the FDA through the existing law interface between CBP and FDA. </w:t>
      </w:r>
    </w:p>
    <w:p w14:paraId="08CABCE8"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t>The Prior Notice System Interface (PNSI) is available to individuals or companies who cannot, or choose not to, file through CBP. PNSI submissions are expected to include a prior notice for shipments through international mail; In-Bond entries or admissions into FTZ by carriers or others who do not need to make a full CBP entry at the time of filing the prior notice; filers or brokers who need to file CBP entries at a time the ACE/OASIS interface is not available, and others who simply prefer to use an interactive system.</w:t>
      </w:r>
    </w:p>
    <w:p w14:paraId="64BDD19E"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Recordkeeping</w:t>
      </w:r>
    </w:p>
    <w:p w14:paraId="611F8339"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Records are established, maintained, and made available to FDA upon request to allow the agency to identify all food products handled by the facility. </w:t>
      </w:r>
    </w:p>
    <w:p w14:paraId="10F9FFF8"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Good Manufacturing Practice Requirements</w:t>
      </w:r>
    </w:p>
    <w:p w14:paraId="61DD93E6"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All products are produced under safe and sanitary conditions based on the 21 CFR Section 117 Current Good Manufacturing Practices, Hazard Analysis, and Risk-Based Preventive Controls for Human Food regulations.</w:t>
      </w:r>
    </w:p>
    <w:p w14:paraId="0C7FD159"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lastRenderedPageBreak/>
        <w:t xml:space="preserve">Establish and implement a food safety system that includes an analysis of hazards and implementation of risk-based preventive controls </w:t>
      </w:r>
    </w:p>
    <w:p w14:paraId="1E8F014D"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t>Establish and implement a risk-based supply-chain program for those raw materials and other ingredients for which a hazard has been controlled before receipt (a supply-chain-applied control).</w:t>
      </w:r>
    </w:p>
    <w:p w14:paraId="6F31A2C3"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t>Meet updated current Good Manufacturing Practices (cGMPs) requirements.</w:t>
      </w:r>
    </w:p>
    <w:p w14:paraId="5E3E1118"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Labeling</w:t>
      </w:r>
    </w:p>
    <w:p w14:paraId="0E22A21C"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Develop labels (including nutrition information) that meet legal food labeling requirements (21 CFR 101). All labeling of FDA-regulated food products must be truthful and not misleading. </w:t>
      </w:r>
    </w:p>
    <w:p w14:paraId="61B1BE39"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Ensure proper labeling, including nutrition labeling and labeling for the major food allergen.</w:t>
      </w:r>
    </w:p>
    <w:p w14:paraId="7ADB776E"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Reporting</w:t>
      </w:r>
    </w:p>
    <w:p w14:paraId="5081B849"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Report to FDA when there is a reasonable probability that the use of, or exposure to, an article of food will cause serious adverse health consequences or death to humans or animals. </w:t>
      </w:r>
    </w:p>
    <w:p w14:paraId="1B87B624"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Hazard Analysis and Risk-based Preventive Controls</w:t>
      </w:r>
    </w:p>
    <w:p w14:paraId="406352F4"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Develop and implement hazard analysis and critical control point (HACCP) plans / Food Safety Plan. </w:t>
      </w:r>
    </w:p>
    <w:p w14:paraId="3D72263E"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Food Defense</w:t>
      </w:r>
    </w:p>
    <w:p w14:paraId="5F31FCED"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Implement measures, strategies, procedures, and policies to prevent intentional and economically motivated adulteration of foods throughout the supply chain.</w:t>
      </w:r>
    </w:p>
    <w:p w14:paraId="1BC0F939"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Changes in relevant standards, issues, and practices</w:t>
      </w:r>
    </w:p>
    <w:p w14:paraId="5525D37A"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Identify a key person in charge of maintaining and updating files related to applicable legislation, scientific, technical, and emerging food safety.</w:t>
      </w:r>
    </w:p>
    <w:p w14:paraId="272ECC02"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The key person and the management are kept up to date on the relevant legislation, food safety issues, and legislative and technical developments by following these procedures:</w:t>
      </w:r>
    </w:p>
    <w:p w14:paraId="495536A7"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Participate in seminars, conferences, or web training to get information on how the new regulation must be implemented.</w:t>
      </w:r>
    </w:p>
    <w:p w14:paraId="651E7AE9"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Membership, subscription, or communication with USFDA, USDA, CODEX, CFR, SQFI, Trade Magazines, Food Safety Magazines, Food Processing Magazines, Journal Publications, Newspapers, etc.</w:t>
      </w:r>
    </w:p>
    <w:p w14:paraId="5D5E191B"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Enroll in newsletters with updates from the legislator (Law firms, Regulatory bodies). </w:t>
      </w:r>
    </w:p>
    <w:p w14:paraId="7DF60030"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Inform all concerned departments of the new legal requirements.</w:t>
      </w:r>
    </w:p>
    <w:p w14:paraId="61723A68"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Keep a database with all the regulations concerning the company, raw materials, packaging materials, and finished products. </w:t>
      </w:r>
    </w:p>
    <w:p w14:paraId="7637831E"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Document the changes and keep records.</w:t>
      </w:r>
    </w:p>
    <w:p w14:paraId="4AADFFD9"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Development of finished product, raw material, and packaging material specifications</w:t>
      </w:r>
    </w:p>
    <w:p w14:paraId="103CFBAE"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Identify applicable legislative requirements to the finished product and raw and packaging materials.</w:t>
      </w:r>
    </w:p>
    <w:p w14:paraId="0E8FFF81"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Incorporate the applicable legislative requirements into the product specifications</w:t>
      </w:r>
    </w:p>
    <w:p w14:paraId="4549C1AB"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Inspect and/or test the finished products, raw materials, and packaging materials based on the applicable legislative requirements.</w:t>
      </w:r>
    </w:p>
    <w:p w14:paraId="399793BD" w14:textId="77777777" w:rsidR="00F96C9E" w:rsidRDefault="00F96C9E" w:rsidP="005334BF">
      <w:pPr>
        <w:numPr>
          <w:ilvl w:val="1"/>
          <w:numId w:val="19"/>
        </w:numPr>
        <w:ind w:left="1170" w:hanging="90"/>
        <w:contextualSpacing/>
        <w:jc w:val="both"/>
        <w:rPr>
          <w:sz w:val="20"/>
          <w:szCs w:val="20"/>
        </w:rPr>
      </w:pPr>
      <w:r>
        <w:rPr>
          <w:sz w:val="20"/>
          <w:szCs w:val="20"/>
        </w:rPr>
        <w:t>SQFI and certification body notification in the event of regulatory warning or food safety incident</w:t>
      </w:r>
    </w:p>
    <w:p w14:paraId="070B929B" w14:textId="77777777" w:rsidR="00F96C9E" w:rsidRDefault="00F96C9E" w:rsidP="005334BF">
      <w:pPr>
        <w:numPr>
          <w:ilvl w:val="2"/>
          <w:numId w:val="19"/>
        </w:numPr>
        <w:ind w:left="1890" w:hanging="180"/>
        <w:contextualSpacing/>
        <w:jc w:val="both"/>
        <w:rPr>
          <w:sz w:val="20"/>
          <w:szCs w:val="20"/>
        </w:rPr>
      </w:pPr>
      <w:r>
        <w:rPr>
          <w:sz w:val="20"/>
          <w:szCs w:val="20"/>
        </w:rPr>
        <w:t>In case of a regulatory warning, the food safety team or designee notifies SQFI and the certification body via email (foodsafetycrisis@sqfi.com) within 24 hours of receipt of the warning.</w:t>
      </w:r>
    </w:p>
    <w:p w14:paraId="6203E8B9" w14:textId="77777777" w:rsidR="00F96C9E" w:rsidRDefault="00F96C9E" w:rsidP="005334BF">
      <w:pPr>
        <w:numPr>
          <w:ilvl w:val="3"/>
          <w:numId w:val="19"/>
        </w:numPr>
        <w:ind w:left="2771" w:hanging="180"/>
        <w:contextualSpacing/>
        <w:jc w:val="both"/>
        <w:rPr>
          <w:sz w:val="20"/>
          <w:szCs w:val="20"/>
        </w:rPr>
      </w:pPr>
      <w:r>
        <w:rPr>
          <w:sz w:val="20"/>
          <w:szCs w:val="20"/>
        </w:rPr>
        <w:lastRenderedPageBreak/>
        <w:t xml:space="preserve">The food safety team or designee prepares and accomplishes the </w:t>
      </w:r>
      <w:r>
        <w:rPr>
          <w:i/>
          <w:iCs/>
          <w:sz w:val="20"/>
          <w:szCs w:val="20"/>
        </w:rPr>
        <w:t>SQFI and Certification Body Notification Form</w:t>
      </w:r>
      <w:r>
        <w:rPr>
          <w:sz w:val="20"/>
          <w:szCs w:val="20"/>
        </w:rPr>
        <w:t xml:space="preserve"> and submits it to the Senior Management for approval. </w:t>
      </w:r>
    </w:p>
    <w:p w14:paraId="4B03E5AF" w14:textId="77777777" w:rsidR="00F96C9E" w:rsidRDefault="00F96C9E" w:rsidP="005334BF">
      <w:pPr>
        <w:numPr>
          <w:ilvl w:val="3"/>
          <w:numId w:val="19"/>
        </w:numPr>
        <w:ind w:left="2771" w:hanging="180"/>
        <w:contextualSpacing/>
        <w:jc w:val="both"/>
        <w:rPr>
          <w:sz w:val="20"/>
          <w:szCs w:val="20"/>
        </w:rPr>
      </w:pPr>
      <w:r>
        <w:rPr>
          <w:sz w:val="20"/>
          <w:szCs w:val="20"/>
        </w:rPr>
        <w:t>Once approved, the Senior Management sends the written notification to the following:</w:t>
      </w:r>
    </w:p>
    <w:p w14:paraId="6F8F5AAA" w14:textId="77777777" w:rsidR="00F96C9E" w:rsidRDefault="00F96C9E" w:rsidP="005334BF">
      <w:pPr>
        <w:numPr>
          <w:ilvl w:val="4"/>
          <w:numId w:val="19"/>
        </w:numPr>
        <w:ind w:left="3780" w:hanging="180"/>
        <w:contextualSpacing/>
        <w:jc w:val="both"/>
        <w:rPr>
          <w:sz w:val="20"/>
          <w:szCs w:val="20"/>
        </w:rPr>
      </w:pPr>
      <w:r>
        <w:rPr>
          <w:sz w:val="20"/>
          <w:szCs w:val="20"/>
        </w:rPr>
        <w:t xml:space="preserve">SQFI by email to foodsafetycrisis@sqfi.com </w:t>
      </w:r>
    </w:p>
    <w:p w14:paraId="36281DB2" w14:textId="1A75EE7D" w:rsidR="00C725E5" w:rsidRPr="00C725E5" w:rsidRDefault="00C725E5" w:rsidP="0040576E">
      <w:pPr>
        <w:pStyle w:val="ListParagraph"/>
        <w:numPr>
          <w:ilvl w:val="3"/>
          <w:numId w:val="19"/>
        </w:numPr>
        <w:ind w:leftChars="0" w:left="2790" w:hanging="180"/>
        <w:contextualSpacing/>
        <w:jc w:val="both"/>
        <w:rPr>
          <w:color w:val="0000FF"/>
        </w:rPr>
      </w:pPr>
      <w:r w:rsidRPr="00C725E5">
        <w:rPr>
          <w:sz w:val="20"/>
          <w:szCs w:val="20"/>
        </w:rPr>
        <w:t>NSF Certification body</w:t>
      </w:r>
      <w:r w:rsidR="00F96C9E" w:rsidRPr="00C725E5">
        <w:rPr>
          <w:sz w:val="20"/>
          <w:szCs w:val="20"/>
        </w:rPr>
        <w:t xml:space="preserve"> via email: </w:t>
      </w:r>
      <w:r w:rsidRPr="00C725E5">
        <w:rPr>
          <w:sz w:val="20"/>
          <w:szCs w:val="20"/>
        </w:rPr>
        <w:t xml:space="preserve">aschindler@nsf.org   </w:t>
      </w:r>
      <w:r w:rsidR="00F96C9E" w:rsidRPr="00C725E5">
        <w:rPr>
          <w:sz w:val="20"/>
          <w:szCs w:val="20"/>
        </w:rPr>
        <w:t xml:space="preserve">, for assistance call </w:t>
      </w:r>
      <w:r w:rsidRPr="00C725E5">
        <w:rPr>
          <w:sz w:val="20"/>
          <w:szCs w:val="20"/>
        </w:rPr>
        <w:t>Tel: 734-827-5697</w:t>
      </w:r>
      <w:r>
        <w:rPr>
          <w:sz w:val="20"/>
          <w:szCs w:val="20"/>
        </w:rPr>
        <w:t xml:space="preserve">, </w:t>
      </w:r>
      <w:r w:rsidRPr="00C725E5">
        <w:rPr>
          <w:sz w:val="20"/>
          <w:szCs w:val="20"/>
        </w:rPr>
        <w:t>Fax: 734-827-7813</w:t>
      </w:r>
    </w:p>
    <w:p w14:paraId="3F9A5FB4" w14:textId="57781E1D" w:rsidR="00F96C9E" w:rsidRPr="00C725E5" w:rsidRDefault="00F96C9E" w:rsidP="0040576E">
      <w:pPr>
        <w:pStyle w:val="ListParagraph"/>
        <w:numPr>
          <w:ilvl w:val="3"/>
          <w:numId w:val="19"/>
        </w:numPr>
        <w:ind w:leftChars="0" w:left="2790" w:hanging="180"/>
        <w:contextualSpacing/>
        <w:jc w:val="both"/>
        <w:rPr>
          <w:rStyle w:val="Hyperlink"/>
          <w:u w:val="none"/>
        </w:rPr>
      </w:pPr>
      <w:r w:rsidRPr="00C725E5">
        <w:rPr>
          <w:rStyle w:val="Hyperlink"/>
          <w:color w:val="auto"/>
          <w:sz w:val="20"/>
          <w:szCs w:val="20"/>
          <w:u w:val="none"/>
        </w:rPr>
        <w:t>Ensure adherence to this procedure.</w:t>
      </w:r>
    </w:p>
    <w:p w14:paraId="20564DC4" w14:textId="77777777" w:rsidR="00F96C9E" w:rsidRDefault="00F96C9E" w:rsidP="005334BF">
      <w:pPr>
        <w:pStyle w:val="ListParagraph"/>
        <w:ind w:leftChars="0" w:left="2790"/>
        <w:contextualSpacing/>
        <w:jc w:val="both"/>
        <w:rPr>
          <w:rStyle w:val="Hyperlink"/>
          <w:sz w:val="20"/>
          <w:szCs w:val="20"/>
        </w:rPr>
      </w:pPr>
    </w:p>
    <w:p w14:paraId="29F215B9" w14:textId="77777777" w:rsidR="00F96C9E" w:rsidRDefault="00F96C9E" w:rsidP="005334BF">
      <w:pPr>
        <w:numPr>
          <w:ilvl w:val="0"/>
          <w:numId w:val="19"/>
        </w:numPr>
        <w:jc w:val="both"/>
      </w:pPr>
      <w:r>
        <w:rPr>
          <w:sz w:val="20"/>
          <w:szCs w:val="20"/>
        </w:rPr>
        <w:t>Responsibility</w:t>
      </w:r>
    </w:p>
    <w:p w14:paraId="4738128E" w14:textId="77777777" w:rsidR="00F96C9E" w:rsidRDefault="00F96C9E" w:rsidP="005334BF">
      <w:pPr>
        <w:numPr>
          <w:ilvl w:val="1"/>
          <w:numId w:val="19"/>
        </w:numPr>
        <w:ind w:left="1170" w:hanging="90"/>
        <w:contextualSpacing/>
        <w:jc w:val="both"/>
        <w:rPr>
          <w:sz w:val="20"/>
          <w:szCs w:val="20"/>
        </w:rPr>
      </w:pPr>
      <w:r>
        <w:rPr>
          <w:sz w:val="20"/>
          <w:szCs w:val="20"/>
        </w:rPr>
        <w:t>Management and Quality Control</w:t>
      </w:r>
    </w:p>
    <w:p w14:paraId="4D2C9BD7"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Ensure that manufacturing practices comply with the legislation that applies.</w:t>
      </w:r>
    </w:p>
    <w:p w14:paraId="4363612B"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Inform and develop employee methods and implement changes to stay current on relevant legislation requirements and emerging food safety issues.</w:t>
      </w:r>
    </w:p>
    <w:p w14:paraId="56939532"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Review of documents to maintain and update legislative requirements at least annually or as changes occur.</w:t>
      </w:r>
    </w:p>
    <w:p w14:paraId="76CF928D"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 xml:space="preserve">Ensure that changes in documents are cascaded to key personnel. </w:t>
      </w:r>
    </w:p>
    <w:p w14:paraId="143620F0"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Compliance with legislation is checked as part of the internal audit and the management review.</w:t>
      </w:r>
    </w:p>
    <w:p w14:paraId="7B9A5872"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Confirmation that SQFI and the Certification Body have been notified in writing in the event of a food safety incident requiring a public notification.</w:t>
      </w:r>
    </w:p>
    <w:p w14:paraId="6B4015A2"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SQF Practitioner / Quality / Food Safety Team</w:t>
      </w:r>
    </w:p>
    <w:p w14:paraId="148ACA63"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Inform SQFI and the Certification Body of all regulatory warning notifications received within 24 Hours.</w:t>
      </w:r>
    </w:p>
    <w:p w14:paraId="2B82E60C" w14:textId="77777777" w:rsidR="00F96C9E" w:rsidRDefault="00F96C9E" w:rsidP="005334BF">
      <w:pPr>
        <w:pStyle w:val="ListParagraph"/>
        <w:ind w:leftChars="0" w:left="2160"/>
        <w:contextualSpacing/>
        <w:jc w:val="both"/>
        <w:rPr>
          <w:sz w:val="20"/>
          <w:szCs w:val="20"/>
        </w:rPr>
      </w:pPr>
    </w:p>
    <w:p w14:paraId="57C02908" w14:textId="77777777" w:rsidR="00F96C9E" w:rsidRDefault="00F96C9E" w:rsidP="005334BF">
      <w:pPr>
        <w:pStyle w:val="ListParagraph"/>
        <w:numPr>
          <w:ilvl w:val="0"/>
          <w:numId w:val="19"/>
        </w:numPr>
        <w:ind w:leftChars="0"/>
        <w:contextualSpacing/>
        <w:jc w:val="both"/>
        <w:rPr>
          <w:sz w:val="20"/>
          <w:szCs w:val="20"/>
        </w:rPr>
      </w:pPr>
      <w:r>
        <w:rPr>
          <w:sz w:val="20"/>
          <w:szCs w:val="20"/>
        </w:rPr>
        <w:t>Corrective Action</w:t>
      </w:r>
    </w:p>
    <w:p w14:paraId="01F30D79" w14:textId="77777777" w:rsidR="00F96C9E" w:rsidRDefault="00F96C9E" w:rsidP="005334BF">
      <w:pPr>
        <w:numPr>
          <w:ilvl w:val="1"/>
          <w:numId w:val="19"/>
        </w:numPr>
        <w:ind w:left="1170" w:hanging="90"/>
        <w:contextualSpacing/>
        <w:jc w:val="both"/>
        <w:rPr>
          <w:sz w:val="20"/>
          <w:szCs w:val="20"/>
        </w:rPr>
      </w:pPr>
      <w:r>
        <w:rPr>
          <w:sz w:val="20"/>
          <w:szCs w:val="20"/>
        </w:rPr>
        <w:t>In case of non-compliance to the Food Legislation Program:</w:t>
      </w:r>
    </w:p>
    <w:p w14:paraId="64588E35"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Re-train personnel on this policy that is/are involved in the situation.</w:t>
      </w:r>
    </w:p>
    <w:p w14:paraId="34546A63" w14:textId="77777777" w:rsidR="00F96C9E" w:rsidRDefault="00F96C9E" w:rsidP="005334BF">
      <w:pPr>
        <w:numPr>
          <w:ilvl w:val="1"/>
          <w:numId w:val="19"/>
        </w:numPr>
        <w:tabs>
          <w:tab w:val="left" w:pos="2430"/>
        </w:tabs>
        <w:ind w:left="1170" w:hanging="90"/>
        <w:contextualSpacing/>
        <w:jc w:val="both"/>
        <w:rPr>
          <w:sz w:val="20"/>
          <w:szCs w:val="20"/>
        </w:rPr>
      </w:pPr>
      <w:r>
        <w:rPr>
          <w:sz w:val="20"/>
          <w:szCs w:val="20"/>
        </w:rPr>
        <w:t>In case of non-compliance to the applicable regulatory, statutory, and customer requirements:</w:t>
      </w:r>
    </w:p>
    <w:p w14:paraId="25822E5C"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Conduct root cause analysis on the problem.</w:t>
      </w:r>
    </w:p>
    <w:p w14:paraId="0E394376"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Derive a corrective action plan that can address the identified root causes.</w:t>
      </w:r>
    </w:p>
    <w:p w14:paraId="45DDB6A5"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Implement the corrective action plan.</w:t>
      </w:r>
    </w:p>
    <w:p w14:paraId="65B4BB4B"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Verify the implementation of the corrective actions and the result of the implementation.</w:t>
      </w:r>
    </w:p>
    <w:p w14:paraId="618226E7"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Maintain the records of corrective actions implementation and verification.</w:t>
      </w:r>
    </w:p>
    <w:p w14:paraId="591B5305" w14:textId="77777777" w:rsidR="00F96C9E" w:rsidRDefault="00F96C9E" w:rsidP="005334BF">
      <w:pPr>
        <w:ind w:left="720"/>
        <w:contextualSpacing/>
        <w:jc w:val="both"/>
        <w:rPr>
          <w:sz w:val="20"/>
          <w:szCs w:val="20"/>
        </w:rPr>
      </w:pPr>
    </w:p>
    <w:p w14:paraId="084CBE43" w14:textId="77777777" w:rsidR="00F96C9E" w:rsidRDefault="00F96C9E" w:rsidP="005334BF">
      <w:pPr>
        <w:numPr>
          <w:ilvl w:val="0"/>
          <w:numId w:val="19"/>
        </w:numPr>
        <w:jc w:val="both"/>
        <w:rPr>
          <w:sz w:val="20"/>
          <w:szCs w:val="20"/>
        </w:rPr>
      </w:pPr>
      <w:r>
        <w:rPr>
          <w:rFonts w:eastAsia="Times New Roman"/>
          <w:color w:val="000000"/>
          <w:kern w:val="28"/>
          <w:sz w:val="20"/>
          <w:szCs w:val="20"/>
          <w:lang w:eastAsia="en-US"/>
        </w:rPr>
        <w:t>Review – Quality</w:t>
      </w:r>
    </w:p>
    <w:p w14:paraId="032BC2D8" w14:textId="77777777" w:rsidR="00F96C9E" w:rsidRDefault="00F96C9E" w:rsidP="005334BF">
      <w:pPr>
        <w:numPr>
          <w:ilvl w:val="1"/>
          <w:numId w:val="19"/>
        </w:numPr>
        <w:ind w:left="1170" w:hanging="90"/>
        <w:contextualSpacing/>
        <w:jc w:val="both"/>
        <w:rPr>
          <w:sz w:val="20"/>
          <w:szCs w:val="20"/>
        </w:rPr>
      </w:pPr>
      <w:r>
        <w:rPr>
          <w:rFonts w:eastAsia="Times New Roman"/>
          <w:kern w:val="28"/>
          <w:sz w:val="20"/>
          <w:szCs w:val="20"/>
          <w:lang w:eastAsia="en-US"/>
        </w:rPr>
        <w:t>Regulatory and statutory standards and customer requirements are available and implemented in the company.</w:t>
      </w:r>
    </w:p>
    <w:p w14:paraId="40DE9C47" w14:textId="77777777" w:rsidR="00F96C9E" w:rsidRDefault="00F96C9E" w:rsidP="005334BF">
      <w:pPr>
        <w:numPr>
          <w:ilvl w:val="1"/>
          <w:numId w:val="19"/>
        </w:numPr>
        <w:ind w:left="1170" w:hanging="90"/>
        <w:contextualSpacing/>
        <w:jc w:val="both"/>
        <w:rPr>
          <w:sz w:val="20"/>
          <w:szCs w:val="20"/>
        </w:rPr>
      </w:pPr>
      <w:r>
        <w:rPr>
          <w:rFonts w:eastAsia="Times New Roman"/>
          <w:kern w:val="28"/>
          <w:sz w:val="20"/>
          <w:szCs w:val="20"/>
          <w:lang w:eastAsia="en-US"/>
        </w:rPr>
        <w:t>Allergen management program and food defense program have been implemented and complied with.</w:t>
      </w:r>
    </w:p>
    <w:p w14:paraId="371E3865" w14:textId="77777777" w:rsidR="00F96C9E" w:rsidRDefault="00F96C9E" w:rsidP="005334BF">
      <w:pPr>
        <w:numPr>
          <w:ilvl w:val="1"/>
          <w:numId w:val="19"/>
        </w:numPr>
        <w:ind w:left="1170" w:hanging="90"/>
        <w:contextualSpacing/>
        <w:jc w:val="both"/>
        <w:rPr>
          <w:sz w:val="20"/>
          <w:szCs w:val="20"/>
        </w:rPr>
      </w:pPr>
      <w:r>
        <w:rPr>
          <w:sz w:val="20"/>
          <w:szCs w:val="20"/>
        </w:rPr>
        <w:t>A procedure for communicating with statutory and regulatory authorities and customers has been documented and established.</w:t>
      </w:r>
    </w:p>
    <w:p w14:paraId="1D665B0D" w14:textId="77777777" w:rsidR="00F96C9E" w:rsidRDefault="00F96C9E" w:rsidP="005334BF">
      <w:pPr>
        <w:numPr>
          <w:ilvl w:val="1"/>
          <w:numId w:val="19"/>
        </w:numPr>
        <w:ind w:left="1170" w:hanging="90"/>
        <w:contextualSpacing/>
        <w:jc w:val="both"/>
        <w:rPr>
          <w:sz w:val="20"/>
          <w:szCs w:val="20"/>
        </w:rPr>
      </w:pPr>
      <w:r>
        <w:rPr>
          <w:sz w:val="20"/>
          <w:szCs w:val="20"/>
        </w:rPr>
        <w:t>Review and revisions on documents have been recorded and maintained.</w:t>
      </w:r>
    </w:p>
    <w:p w14:paraId="5EC98C14" w14:textId="77777777" w:rsidR="00F96C9E" w:rsidRPr="00F96C9E" w:rsidRDefault="00F96C9E" w:rsidP="005334BF">
      <w:pPr>
        <w:numPr>
          <w:ilvl w:val="1"/>
          <w:numId w:val="19"/>
        </w:numPr>
        <w:ind w:left="1170" w:hanging="90"/>
        <w:contextualSpacing/>
        <w:jc w:val="both"/>
        <w:rPr>
          <w:sz w:val="20"/>
          <w:szCs w:val="20"/>
        </w:rPr>
      </w:pPr>
      <w:r>
        <w:rPr>
          <w:rFonts w:eastAsia="Times New Roman"/>
          <w:kern w:val="28"/>
          <w:sz w:val="20"/>
          <w:szCs w:val="20"/>
          <w:lang w:eastAsia="en-US"/>
        </w:rPr>
        <w:t>Key personnel is trained, and records of training are maintained.</w:t>
      </w:r>
    </w:p>
    <w:p w14:paraId="0887C2F7" w14:textId="4276B34E" w:rsidR="008B1552" w:rsidRPr="00F96C9E" w:rsidRDefault="00F96C9E" w:rsidP="005334BF">
      <w:pPr>
        <w:numPr>
          <w:ilvl w:val="1"/>
          <w:numId w:val="19"/>
        </w:numPr>
        <w:ind w:left="1170" w:hanging="90"/>
        <w:contextualSpacing/>
        <w:jc w:val="both"/>
        <w:rPr>
          <w:sz w:val="20"/>
          <w:szCs w:val="20"/>
        </w:rPr>
      </w:pPr>
      <w:r w:rsidRPr="00F96C9E">
        <w:rPr>
          <w:sz w:val="20"/>
          <w:szCs w:val="20"/>
        </w:rPr>
        <w:t>Corrective actions have been implemented, and their effectiveness has been verified.</w:t>
      </w:r>
    </w:p>
    <w:p w14:paraId="559FF1D7" w14:textId="0861A1D2" w:rsidR="00AB7B88" w:rsidRDefault="00AB7B88" w:rsidP="005334BF">
      <w:pPr>
        <w:contextualSpacing/>
        <w:jc w:val="both"/>
        <w:rPr>
          <w:sz w:val="20"/>
          <w:szCs w:val="20"/>
        </w:rPr>
      </w:pPr>
    </w:p>
    <w:p w14:paraId="2489A851" w14:textId="500AF9A6" w:rsidR="005334BF" w:rsidRDefault="005334BF" w:rsidP="005334BF">
      <w:pPr>
        <w:contextualSpacing/>
        <w:jc w:val="both"/>
        <w:rPr>
          <w:sz w:val="20"/>
          <w:szCs w:val="20"/>
        </w:rPr>
      </w:pPr>
    </w:p>
    <w:p w14:paraId="5018476B" w14:textId="4E78C636" w:rsidR="005334BF" w:rsidRDefault="005334BF" w:rsidP="005334BF">
      <w:pPr>
        <w:contextualSpacing/>
        <w:jc w:val="both"/>
        <w:rPr>
          <w:sz w:val="20"/>
          <w:szCs w:val="20"/>
        </w:rPr>
      </w:pPr>
    </w:p>
    <w:p w14:paraId="0A58E681" w14:textId="0F8F9106" w:rsidR="005334BF" w:rsidRDefault="005334BF" w:rsidP="005334BF">
      <w:pPr>
        <w:contextualSpacing/>
        <w:jc w:val="both"/>
        <w:rPr>
          <w:sz w:val="20"/>
          <w:szCs w:val="20"/>
        </w:rPr>
      </w:pPr>
    </w:p>
    <w:p w14:paraId="11BB4276" w14:textId="77777777" w:rsidR="005334BF" w:rsidRDefault="005334BF" w:rsidP="005334BF">
      <w:pPr>
        <w:contextualSpacing/>
        <w:jc w:val="both"/>
        <w:rPr>
          <w:sz w:val="20"/>
          <w:szCs w:val="20"/>
        </w:rPr>
      </w:pPr>
    </w:p>
    <w:p w14:paraId="40802C49" w14:textId="49602469" w:rsidR="006449D6" w:rsidRPr="005334BF" w:rsidRDefault="007A5B3F" w:rsidP="005334BF">
      <w:pPr>
        <w:pStyle w:val="ListParagraph"/>
        <w:numPr>
          <w:ilvl w:val="0"/>
          <w:numId w:val="18"/>
        </w:numPr>
        <w:ind w:leftChars="0"/>
        <w:contextualSpacing/>
        <w:jc w:val="both"/>
        <w:rPr>
          <w:sz w:val="20"/>
          <w:szCs w:val="20"/>
        </w:rPr>
      </w:pPr>
      <w:r w:rsidRPr="00AB7B88">
        <w:rPr>
          <w:sz w:val="20"/>
          <w:szCs w:val="20"/>
        </w:rPr>
        <w:lastRenderedPageBreak/>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7A5B3F" w:rsidRPr="00B162D6" w:rsidRDefault="00AB0C4C" w:rsidP="005334BF">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B7B88">
              <w:rPr>
                <w:sz w:val="20"/>
                <w:szCs w:val="20"/>
              </w:rPr>
              <w:t>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PCQI / Compliance</w:t>
            </w:r>
          </w:p>
        </w:tc>
      </w:tr>
    </w:tbl>
    <w:p w14:paraId="3340F96E" w14:textId="77777777" w:rsidR="008B1552" w:rsidRDefault="008B1552" w:rsidP="005334BF">
      <w:pPr>
        <w:jc w:val="both"/>
        <w:rPr>
          <w:b/>
          <w:sz w:val="16"/>
          <w:szCs w:val="16"/>
        </w:rPr>
      </w:pPr>
    </w:p>
    <w:p w14:paraId="0ECBF08E" w14:textId="77777777" w:rsidR="004D308C" w:rsidRDefault="004D308C" w:rsidP="005334BF">
      <w:pPr>
        <w:spacing w:after="12"/>
        <w:jc w:val="both"/>
        <w:rPr>
          <w:sz w:val="20"/>
          <w:szCs w:val="20"/>
        </w:rPr>
      </w:pPr>
      <w:r>
        <w:rPr>
          <w:b/>
          <w:sz w:val="16"/>
        </w:rPr>
        <w:t xml:space="preserve">Requirements: </w:t>
      </w:r>
    </w:p>
    <w:p w14:paraId="40D82BE3" w14:textId="77777777" w:rsidR="004D308C"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A545C88" w14:textId="77777777" w:rsidR="008B1552" w:rsidRPr="001B3F82" w:rsidRDefault="008B1552" w:rsidP="005334BF">
      <w:pPr>
        <w:contextualSpacing/>
        <w:jc w:val="both"/>
        <w:rPr>
          <w:sz w:val="16"/>
          <w:szCs w:val="16"/>
        </w:rPr>
      </w:pPr>
    </w:p>
    <w:p w14:paraId="3A9D2C58" w14:textId="77777777" w:rsidR="007A5B3F" w:rsidRDefault="007A5B3F" w:rsidP="005334B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5334B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7E4CB" w14:textId="77777777" w:rsidR="00E22406" w:rsidRDefault="00E22406">
      <w:pPr>
        <w:spacing w:line="240" w:lineRule="auto"/>
      </w:pPr>
      <w:r>
        <w:separator/>
      </w:r>
    </w:p>
  </w:endnote>
  <w:endnote w:type="continuationSeparator" w:id="0">
    <w:p w14:paraId="1EEE00E9" w14:textId="77777777" w:rsidR="00E22406" w:rsidRDefault="00E224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1E143092"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AB7B88">
            <w:rPr>
              <w:rFonts w:eastAsia="Calibri"/>
              <w:sz w:val="18"/>
              <w:szCs w:val="18"/>
            </w:rPr>
            <w:t>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27AEDFA6"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4.1</w:t>
          </w:r>
          <w:r w:rsidR="008410D5">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1226A" w14:textId="77777777" w:rsidR="00E22406" w:rsidRDefault="00E22406">
      <w:pPr>
        <w:spacing w:line="240" w:lineRule="auto"/>
      </w:pPr>
      <w:r>
        <w:separator/>
      </w:r>
    </w:p>
  </w:footnote>
  <w:footnote w:type="continuationSeparator" w:id="0">
    <w:p w14:paraId="37CA70AA" w14:textId="77777777" w:rsidR="00E22406" w:rsidRDefault="00E224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18D274E6"/>
    <w:lvl w:ilvl="0">
      <w:start w:val="1"/>
      <w:numFmt w:val="decimal"/>
      <w:lvlText w:val="%1."/>
      <w:lvlJc w:val="right"/>
      <w:pPr>
        <w:ind w:left="720" w:hanging="360"/>
      </w:pPr>
      <w:rPr>
        <w:strike w:val="0"/>
        <w:dstrike w:val="0"/>
        <w:sz w:val="20"/>
        <w:szCs w:val="2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color w:val="auto"/>
        <w:sz w:val="20"/>
        <w:szCs w:val="2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59530977">
    <w:abstractNumId w:val="0"/>
  </w:num>
  <w:num w:numId="2" w16cid:durableId="629363419">
    <w:abstractNumId w:val="5"/>
  </w:num>
  <w:num w:numId="3" w16cid:durableId="1966887413">
    <w:abstractNumId w:val="3"/>
  </w:num>
  <w:num w:numId="4" w16cid:durableId="2145073324">
    <w:abstractNumId w:val="1"/>
  </w:num>
  <w:num w:numId="5" w16cid:durableId="710613361">
    <w:abstractNumId w:val="12"/>
  </w:num>
  <w:num w:numId="6" w16cid:durableId="1404256002">
    <w:abstractNumId w:val="10"/>
  </w:num>
  <w:num w:numId="7" w16cid:durableId="821235971">
    <w:abstractNumId w:val="14"/>
  </w:num>
  <w:num w:numId="8" w16cid:durableId="1433940253">
    <w:abstractNumId w:val="5"/>
  </w:num>
  <w:num w:numId="9" w16cid:durableId="1980528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73251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1985331">
    <w:abstractNumId w:val="7"/>
  </w:num>
  <w:num w:numId="12" w16cid:durableId="1685132535">
    <w:abstractNumId w:val="8"/>
  </w:num>
  <w:num w:numId="13" w16cid:durableId="162161541">
    <w:abstractNumId w:val="11"/>
  </w:num>
  <w:num w:numId="14" w16cid:durableId="2115323107">
    <w:abstractNumId w:val="6"/>
  </w:num>
  <w:num w:numId="15" w16cid:durableId="1947299871">
    <w:abstractNumId w:val="4"/>
  </w:num>
  <w:num w:numId="16" w16cid:durableId="1677029856">
    <w:abstractNumId w:val="9"/>
  </w:num>
  <w:num w:numId="17" w16cid:durableId="860438301">
    <w:abstractNumId w:val="1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1845907">
    <w:abstractNumId w:val="4"/>
  </w:num>
  <w:num w:numId="19" w16cid:durableId="9427664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2877"/>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668"/>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34B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3667"/>
    <w:rsid w:val="005C4B4A"/>
    <w:rsid w:val="005C5C93"/>
    <w:rsid w:val="005D108C"/>
    <w:rsid w:val="005D162E"/>
    <w:rsid w:val="005D3756"/>
    <w:rsid w:val="005D3852"/>
    <w:rsid w:val="005D3B18"/>
    <w:rsid w:val="005D543F"/>
    <w:rsid w:val="005D5874"/>
    <w:rsid w:val="005D6D98"/>
    <w:rsid w:val="005D73B1"/>
    <w:rsid w:val="005E1A97"/>
    <w:rsid w:val="005E2374"/>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21E3"/>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3E7"/>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102D"/>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4F1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25E5"/>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06"/>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3E72"/>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6C9E"/>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42101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2023-02-02T15:16:00Z</dcterms:created>
  <dcterms:modified xsi:type="dcterms:W3CDTF">2023-02-02T15:16:00Z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05e221360a66407a797a2b4215cad0595af5dc82f8a65585914bb2a9501dc718</vt:lpwstr>
  </property>
</Properties>
</file>