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92DC" w14:textId="67E04713" w:rsidR="006D7E4B" w:rsidRPr="00457124" w:rsidRDefault="006D7E4B" w:rsidP="00A90636">
      <w:pPr>
        <w:pStyle w:val="ListParagraph"/>
        <w:spacing w:after="0" w:line="276" w:lineRule="auto"/>
        <w:ind w:left="360"/>
        <w:jc w:val="center"/>
        <w:rPr>
          <w:rFonts w:ascii="Arial" w:hAnsi="Arial" w:cs="Arial"/>
          <w:b/>
          <w:bCs/>
          <w:sz w:val="20"/>
          <w:szCs w:val="20"/>
        </w:rPr>
      </w:pPr>
      <w:r w:rsidRPr="00457124">
        <w:rPr>
          <w:rFonts w:ascii="Arial" w:hAnsi="Arial" w:cs="Arial"/>
          <w:b/>
          <w:bCs/>
        </w:rPr>
        <w:t>Gestión</w:t>
      </w:r>
      <w:r w:rsidRPr="00457124">
        <w:rPr>
          <w:rFonts w:ascii="Arial" w:hAnsi="Arial" w:cs="Arial"/>
          <w:b/>
          <w:bCs/>
          <w:spacing w:val="-6"/>
        </w:rPr>
        <w:t xml:space="preserve"> </w:t>
      </w:r>
      <w:r w:rsidRPr="00457124">
        <w:rPr>
          <w:rFonts w:ascii="Arial" w:hAnsi="Arial" w:cs="Arial"/>
          <w:b/>
          <w:bCs/>
        </w:rPr>
        <w:t>Lección de responsabilidad</w:t>
      </w:r>
    </w:p>
    <w:p w14:paraId="3D059958" w14:textId="390A8C13" w:rsidR="006D7E4B" w:rsidRPr="00457124" w:rsidRDefault="006D7E4B"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Política</w:t>
      </w:r>
    </w:p>
    <w:p w14:paraId="1AD887BC" w14:textId="4F7976F9"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El equipo de gestión de KAV garantiza que todos los recursos necesarios para implementar la política y los objetivos de seguridad alimentaria estén disponibles para todo el personal.</w:t>
      </w:r>
    </w:p>
    <w:p w14:paraId="7FDBE4B3" w14:textId="32B72687"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La gerencia demuestra que los empleados entienden sus funciones y responsabilidades activas en relación con la inocuidad de los alimentos y que se les permite el tiempo, las herramientas y la autoridad para llevar a cabo estas responsabilidades. Estos son entendidos por todos los empleados y miembros del personal del sitio.</w:t>
      </w:r>
      <w:r w:rsidR="007042AD" w:rsidRPr="00457124">
        <w:t xml:space="preserve"> </w:t>
      </w:r>
      <w:r w:rsidR="007042AD" w:rsidRPr="00457124">
        <w:rPr>
          <w:rFonts w:ascii="Arial" w:hAnsi="Arial" w:cs="Arial"/>
          <w:sz w:val="20"/>
          <w:szCs w:val="20"/>
        </w:rPr>
        <w:t xml:space="preserve">Consulte </w:t>
      </w:r>
      <w:r w:rsidR="007042AD" w:rsidRPr="00457124">
        <w:rPr>
          <w:rFonts w:ascii="Arial" w:hAnsi="Arial" w:cs="Arial"/>
          <w:i/>
          <w:iCs/>
          <w:sz w:val="20"/>
          <w:szCs w:val="20"/>
        </w:rPr>
        <w:t>Cualificación del personal - Programa de descripción de funciones.</w:t>
      </w:r>
    </w:p>
    <w:p w14:paraId="39468F44" w14:textId="279EB15C"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La dirección identifica claramente y proporciona los recursos para lograr los objetivos de inocuidad de los alimentos.</w:t>
      </w:r>
    </w:p>
    <w:p w14:paraId="62F300EA" w14:textId="77777777" w:rsidR="006D7E4B" w:rsidRPr="00457124" w:rsidRDefault="006D7E4B" w:rsidP="00A90636">
      <w:pPr>
        <w:spacing w:after="0" w:line="276" w:lineRule="auto"/>
        <w:jc w:val="both"/>
        <w:rPr>
          <w:rFonts w:ascii="Arial" w:hAnsi="Arial" w:cs="Arial"/>
          <w:sz w:val="20"/>
          <w:szCs w:val="20"/>
        </w:rPr>
      </w:pPr>
    </w:p>
    <w:p w14:paraId="1F76E95A" w14:textId="44C990D6" w:rsidR="006D7E4B" w:rsidRPr="00457124" w:rsidRDefault="006D7E4B"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Procedimiento</w:t>
      </w:r>
    </w:p>
    <w:p w14:paraId="2FE2DB17" w14:textId="03C63178"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Declaración de política</w:t>
      </w:r>
    </w:p>
    <w:p w14:paraId="2CFBE071" w14:textId="7DC61420"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Una declaración de política documentada, firmada por el administrador principal del sitio, que se compromete a cumplir con los requisitos reglamentarios y del cliente e indica cómo se cumplen esos requisitos; establecer y lograr objetivos de inocuidad de los alimentos; revisar los objetivos de inocuidad de los alimentos como mínimo una vez al año y mejorar continuamente su Sistema SQF de gestión de la inocuidad de los alimentos se ha escrito y comunicado a todo el personal.</w:t>
      </w:r>
    </w:p>
    <w:p w14:paraId="55DE15C8" w14:textId="0F350BB8"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Los objetivos de seguridad alimentaria se revisan mensualmente para las mejoras continuas.</w:t>
      </w:r>
      <w:r w:rsidR="007042AD" w:rsidRPr="00457124">
        <w:t xml:space="preserve"> </w:t>
      </w:r>
      <w:r w:rsidR="007042AD" w:rsidRPr="00457124">
        <w:rPr>
          <w:rFonts w:ascii="Arial" w:hAnsi="Arial" w:cs="Arial"/>
          <w:sz w:val="20"/>
          <w:szCs w:val="20"/>
        </w:rPr>
        <w:t xml:space="preserve">Consulte </w:t>
      </w:r>
      <w:r w:rsidR="007042AD" w:rsidRPr="00457124">
        <w:rPr>
          <w:rFonts w:ascii="Arial" w:hAnsi="Arial" w:cs="Arial"/>
          <w:i/>
          <w:iCs/>
          <w:sz w:val="20"/>
          <w:szCs w:val="20"/>
        </w:rPr>
        <w:t>Objetivos de inocuidad de los alimentos, Monitoreo del desempeño de los objetivos de inocuidad de los alimentos e Informe de acción mensual de los objetivos de inocuidad de los alimentos.</w:t>
      </w:r>
    </w:p>
    <w:p w14:paraId="7170E5BE" w14:textId="7E9AF43A"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Declaración de política documentada firmada por el presidente de KAV America AG, Inc., Tak Lam.</w:t>
      </w:r>
      <w:r w:rsidR="007042AD" w:rsidRPr="00457124">
        <w:t xml:space="preserve"> </w:t>
      </w:r>
      <w:r w:rsidR="007042AD" w:rsidRPr="00457124">
        <w:rPr>
          <w:rFonts w:ascii="Arial" w:hAnsi="Arial" w:cs="Arial"/>
          <w:sz w:val="20"/>
          <w:szCs w:val="20"/>
        </w:rPr>
        <w:t xml:space="preserve">Consulte la </w:t>
      </w:r>
      <w:r w:rsidR="007042AD" w:rsidRPr="00457124">
        <w:rPr>
          <w:rFonts w:ascii="Arial" w:hAnsi="Arial" w:cs="Arial"/>
          <w:i/>
          <w:iCs/>
          <w:sz w:val="20"/>
          <w:szCs w:val="20"/>
        </w:rPr>
        <w:t>Declaración de política de seguridad alimentaria.</w:t>
      </w:r>
    </w:p>
    <w:p w14:paraId="6486DF33" w14:textId="2206994E"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La declaración de política documentada también está disponible en español para el personal de la empresa.</w:t>
      </w:r>
      <w:r w:rsidR="007042AD" w:rsidRPr="00457124">
        <w:t xml:space="preserve"> </w:t>
      </w:r>
      <w:r w:rsidR="007042AD" w:rsidRPr="00457124">
        <w:rPr>
          <w:rFonts w:ascii="Arial" w:hAnsi="Arial" w:cs="Arial"/>
          <w:sz w:val="20"/>
          <w:szCs w:val="20"/>
        </w:rPr>
        <w:t xml:space="preserve">Consulte </w:t>
      </w:r>
      <w:r w:rsidR="007042AD" w:rsidRPr="00457124">
        <w:rPr>
          <w:rFonts w:ascii="Arial" w:hAnsi="Arial" w:cs="Arial"/>
          <w:i/>
          <w:iCs/>
          <w:sz w:val="20"/>
          <w:szCs w:val="20"/>
        </w:rPr>
        <w:t>la Declaración de política de seguridad alimentaria - ES (</w:t>
      </w:r>
      <w:proofErr w:type="gramStart"/>
      <w:r w:rsidR="007042AD" w:rsidRPr="00457124">
        <w:rPr>
          <w:rFonts w:ascii="Arial" w:hAnsi="Arial" w:cs="Arial"/>
          <w:i/>
          <w:iCs/>
          <w:sz w:val="20"/>
          <w:szCs w:val="20"/>
        </w:rPr>
        <w:t>Español</w:t>
      </w:r>
      <w:proofErr w:type="gramEnd"/>
      <w:r w:rsidR="007042AD" w:rsidRPr="00457124">
        <w:rPr>
          <w:rFonts w:ascii="Arial" w:hAnsi="Arial" w:cs="Arial"/>
          <w:i/>
          <w:iCs/>
          <w:sz w:val="20"/>
          <w:szCs w:val="20"/>
        </w:rPr>
        <w:t>).</w:t>
      </w:r>
    </w:p>
    <w:p w14:paraId="336DAB28" w14:textId="3BF16B6F"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Las Declaraciones de la Política de Seguridad Alimentaria se exhiben y se ponen a disposición de todo el personal y están disponibles en el área de la sala de descanso/comedor.</w:t>
      </w:r>
    </w:p>
    <w:p w14:paraId="114BEB50" w14:textId="2F12E15D" w:rsidR="006D7E4B" w:rsidRPr="00457124" w:rsidRDefault="006D7E4B" w:rsidP="00A90636">
      <w:pPr>
        <w:pStyle w:val="ListParagraph"/>
        <w:numPr>
          <w:ilvl w:val="3"/>
          <w:numId w:val="1"/>
        </w:numPr>
        <w:spacing w:after="0" w:line="276" w:lineRule="auto"/>
        <w:ind w:left="2430" w:hanging="900"/>
        <w:jc w:val="both"/>
        <w:rPr>
          <w:rFonts w:ascii="Arial" w:hAnsi="Arial" w:cs="Arial"/>
          <w:sz w:val="20"/>
          <w:szCs w:val="20"/>
        </w:rPr>
      </w:pPr>
      <w:r w:rsidRPr="00457124">
        <w:rPr>
          <w:rFonts w:ascii="Arial" w:hAnsi="Arial" w:cs="Arial"/>
          <w:sz w:val="20"/>
          <w:szCs w:val="20"/>
        </w:rPr>
        <w:t>Las políticas en inglés y español están plastificadas y publicadas para que todos las lean.</w:t>
      </w:r>
    </w:p>
    <w:p w14:paraId="288F0BA5" w14:textId="025C75D8"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Cultura de seguridad alimentaria</w:t>
      </w:r>
    </w:p>
    <w:p w14:paraId="12BE7988" w14:textId="19D14985"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La Cultura de Seguridad Alimentaria es un conjunto de valores, creencias y normas compartidas que afectan la mentalidad y el comportamiento del personal hacia la seguridad alimentaria en y en toda la organización.</w:t>
      </w:r>
    </w:p>
    <w:p w14:paraId="30491FEA" w14:textId="6C680A47"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 xml:space="preserve">Los elementos de la cultura de inocuidad de los alimentos son los del sistema de gestión de inocuidad de los alimentos que </w:t>
      </w:r>
      <w:r w:rsidR="007042AD" w:rsidRPr="00457124">
        <w:rPr>
          <w:rFonts w:ascii="Arial" w:hAnsi="Arial" w:cs="Arial"/>
          <w:sz w:val="20"/>
          <w:szCs w:val="20"/>
        </w:rPr>
        <w:t>utiliza nuestra alta dirección para impulsar la cultura de inocuidad de los alimentos dentro de la empresa. Estos incluyen, pero no se limitan a:</w:t>
      </w:r>
    </w:p>
    <w:p w14:paraId="005A0EC1" w14:textId="3E42C64F" w:rsidR="006D7E4B" w:rsidRPr="00457124"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457124">
        <w:rPr>
          <w:rFonts w:ascii="Arial" w:hAnsi="Arial" w:cs="Arial"/>
          <w:sz w:val="20"/>
          <w:szCs w:val="20"/>
        </w:rPr>
        <w:t>Comunicación sobre políticas y responsabilidades en materia de inocuidad de los alimentos</w:t>
      </w:r>
    </w:p>
    <w:p w14:paraId="19F4C52D" w14:textId="22BE9CF8" w:rsidR="006D7E4B" w:rsidRPr="00457124"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457124">
        <w:rPr>
          <w:rFonts w:ascii="Arial" w:hAnsi="Arial" w:cs="Arial"/>
          <w:sz w:val="20"/>
          <w:szCs w:val="20"/>
        </w:rPr>
        <w:t>Formación y reciclaje anual</w:t>
      </w:r>
    </w:p>
    <w:p w14:paraId="5E3D18A1" w14:textId="43914732" w:rsidR="006D7E4B" w:rsidRPr="00457124"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457124">
        <w:rPr>
          <w:rFonts w:ascii="Arial" w:hAnsi="Arial" w:cs="Arial"/>
          <w:sz w:val="20"/>
          <w:szCs w:val="20"/>
        </w:rPr>
        <w:t>Comentarios de los empleados sobre cuestiones relacionadas con la seguridad alimentaria</w:t>
      </w:r>
    </w:p>
    <w:p w14:paraId="68E6B30E" w14:textId="0AC113CE" w:rsidR="006D7E4B" w:rsidRPr="00457124" w:rsidRDefault="006D7E4B" w:rsidP="00A90636">
      <w:pPr>
        <w:pStyle w:val="ListParagraph"/>
        <w:numPr>
          <w:ilvl w:val="3"/>
          <w:numId w:val="1"/>
        </w:numPr>
        <w:spacing w:after="0" w:line="276" w:lineRule="auto"/>
        <w:ind w:left="2340" w:hanging="918"/>
        <w:jc w:val="both"/>
        <w:rPr>
          <w:rFonts w:ascii="Arial" w:hAnsi="Arial" w:cs="Arial"/>
          <w:sz w:val="20"/>
          <w:szCs w:val="20"/>
        </w:rPr>
      </w:pPr>
      <w:r w:rsidRPr="00457124">
        <w:rPr>
          <w:rFonts w:ascii="Arial" w:hAnsi="Arial" w:cs="Arial"/>
          <w:sz w:val="20"/>
          <w:szCs w:val="20"/>
        </w:rPr>
        <w:t>Medición del desempeño.</w:t>
      </w:r>
      <w:r w:rsidR="007042AD" w:rsidRPr="00457124">
        <w:t xml:space="preserve"> </w:t>
      </w:r>
      <w:r w:rsidR="007042AD" w:rsidRPr="00457124">
        <w:rPr>
          <w:rFonts w:ascii="Arial" w:hAnsi="Arial" w:cs="Arial"/>
          <w:sz w:val="20"/>
          <w:szCs w:val="20"/>
        </w:rPr>
        <w:t xml:space="preserve">Consulte </w:t>
      </w:r>
      <w:r w:rsidR="007042AD" w:rsidRPr="00457124">
        <w:rPr>
          <w:rFonts w:ascii="Arial" w:hAnsi="Arial" w:cs="Arial"/>
          <w:i/>
          <w:iCs/>
          <w:sz w:val="20"/>
          <w:szCs w:val="20"/>
        </w:rPr>
        <w:t>Encuesta de Cultura de Seguridad Alimentaria y Encuesta de Cultura de Seguridad Alimentaria (English).</w:t>
      </w:r>
    </w:p>
    <w:p w14:paraId="24F5FFB1" w14:textId="5FAA95BA"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Plan de Cultura y Responsabilidades</w:t>
      </w:r>
    </w:p>
    <w:p w14:paraId="0C5EF92E" w14:textId="53516C72"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La cultura de seguridad alimentaria es impulsada por el equipo de seguridad alimentaria en la planta de fabricación a través de comunicaciones e interacciones, y por las decisiones que toma el equipo de Seguridad alimentaria en relación con las materias primas, los procesos, las prácticas de los empleados, la capacitación y la disposición del producto terminado.</w:t>
      </w:r>
    </w:p>
    <w:p w14:paraId="3289FEF4" w14:textId="3D369557"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lastRenderedPageBreak/>
        <w:t>El equipo de seguridad alimentaria estableció procesos de recompensa y reconocimiento que refuerzan la seguridad alimentaria.</w:t>
      </w:r>
    </w:p>
    <w:p w14:paraId="730694AE" w14:textId="2E378265"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El equipo de Seguridad Alimentaria es responsable de desarrollar y comunicar el compromiso con la seguridad alimentaria y garantizar que se cumplan los objetivos.</w:t>
      </w:r>
    </w:p>
    <w:p w14:paraId="5E82C055" w14:textId="53B9E813"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Los empleados están informados y son responsables de sus responsabilidades regulatorias y de seguridad alimentaria;</w:t>
      </w:r>
    </w:p>
    <w:p w14:paraId="59197716" w14:textId="1E090263"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Se alienta positivamente a los empleados y se les exige que notifiquen a la gerencia sobre problemas reales o potenciales de seguridad alimentaria; y</w:t>
      </w:r>
    </w:p>
    <w:p w14:paraId="40FA6AA6" w14:textId="5AAD4F81"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Los empleados están autorizados a actuar para resolver los problemas de inocuidad de los alimentos dentro de su ámbito de trabajo.</w:t>
      </w:r>
    </w:p>
    <w:p w14:paraId="61DA2C1B" w14:textId="45CFE2E7"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Objetivos de seguridad alimentaria</w:t>
      </w:r>
    </w:p>
    <w:p w14:paraId="09DB04CB" w14:textId="6C2FD429"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Todo el personal debe comprender el establecimiento de objetivos de seguridad alimentaria por departamento.</w:t>
      </w:r>
      <w:r w:rsidR="00AC3DEC" w:rsidRPr="00457124">
        <w:t xml:space="preserve"> </w:t>
      </w:r>
      <w:r w:rsidR="00AC3DEC" w:rsidRPr="00457124">
        <w:rPr>
          <w:rFonts w:ascii="Arial" w:hAnsi="Arial" w:cs="Arial"/>
          <w:sz w:val="20"/>
          <w:szCs w:val="20"/>
        </w:rPr>
        <w:t xml:space="preserve">Consulte </w:t>
      </w:r>
      <w:r w:rsidR="00AC3DEC" w:rsidRPr="00457124">
        <w:rPr>
          <w:rFonts w:ascii="Arial" w:hAnsi="Arial" w:cs="Arial"/>
          <w:i/>
          <w:iCs/>
          <w:sz w:val="20"/>
          <w:szCs w:val="20"/>
        </w:rPr>
        <w:t>Objetivos de inocuidad de los alimentos, Monitoreo del desempeño de los objetivos de inocuidad de los alimentos e Informe de acción mensual de los objetivos de inocuidad de los alimentos.</w:t>
      </w:r>
    </w:p>
    <w:p w14:paraId="793AE147" w14:textId="4B4C4726"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Organigrama</w:t>
      </w:r>
    </w:p>
    <w:p w14:paraId="62E156CE" w14:textId="4852554B"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Organigrama tiene las descripciones de puestos que demuestran las interrelaciones y responsabilidades dentro del sitio.</w:t>
      </w:r>
    </w:p>
    <w:p w14:paraId="79CBF9F8" w14:textId="41445428"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En caso de cambios organizacionales o de personal como promociones y alineaciones dentro de la empresa o instalaciones asociadas, se actualiza el organigrama.</w:t>
      </w:r>
      <w:r w:rsidR="009A6C20" w:rsidRPr="00457124">
        <w:t xml:space="preserve"> </w:t>
      </w:r>
      <w:r w:rsidR="009A6C20" w:rsidRPr="00457124">
        <w:rPr>
          <w:rFonts w:ascii="Arial" w:hAnsi="Arial" w:cs="Arial"/>
          <w:sz w:val="20"/>
          <w:szCs w:val="20"/>
        </w:rPr>
        <w:t xml:space="preserve">Consulte el </w:t>
      </w:r>
      <w:r w:rsidR="009A6C20" w:rsidRPr="00457124">
        <w:rPr>
          <w:rFonts w:ascii="Arial" w:hAnsi="Arial" w:cs="Arial"/>
          <w:i/>
          <w:iCs/>
          <w:sz w:val="20"/>
          <w:szCs w:val="20"/>
        </w:rPr>
        <w:t>Organigrama.</w:t>
      </w:r>
    </w:p>
    <w:p w14:paraId="0D9ABDA5" w14:textId="52FD4BBD"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Los puestos de Personal Clave que son responsables de la inocuidad de los alimentos y la mejora continua se identifican con un asterisco (*).</w:t>
      </w:r>
    </w:p>
    <w:p w14:paraId="046A251B" w14:textId="4AEAE6B9" w:rsidR="006D7E4B" w:rsidRPr="00457124" w:rsidRDefault="00321665" w:rsidP="00A90636">
      <w:pPr>
        <w:pStyle w:val="ListParagraph"/>
        <w:numPr>
          <w:ilvl w:val="1"/>
          <w:numId w:val="1"/>
        </w:numPr>
        <w:spacing w:after="0" w:line="276" w:lineRule="auto"/>
        <w:jc w:val="both"/>
        <w:rPr>
          <w:rFonts w:ascii="Arial" w:hAnsi="Arial" w:cs="Arial"/>
          <w:sz w:val="20"/>
          <w:szCs w:val="20"/>
        </w:rPr>
      </w:pPr>
      <w:bookmarkStart w:id="0" w:name="_Hlk129871585"/>
      <w:r w:rsidRPr="00457124">
        <w:rPr>
          <w:rFonts w:ascii="Arial" w:hAnsi="Arial" w:cs="Arial"/>
          <w:sz w:val="20"/>
          <w:szCs w:val="20"/>
        </w:rPr>
        <w:t xml:space="preserve">Practicante </w:t>
      </w:r>
      <w:r w:rsidR="006D7E4B" w:rsidRPr="00457124">
        <w:rPr>
          <w:rFonts w:ascii="Arial" w:hAnsi="Arial" w:cs="Arial"/>
          <w:sz w:val="20"/>
          <w:szCs w:val="20"/>
        </w:rPr>
        <w:t xml:space="preserve">principal y </w:t>
      </w:r>
      <w:r w:rsidRPr="00457124">
        <w:rPr>
          <w:rFonts w:ascii="Arial" w:hAnsi="Arial" w:cs="Arial"/>
          <w:sz w:val="20"/>
          <w:szCs w:val="20"/>
        </w:rPr>
        <w:t>suplente de SQF</w:t>
      </w:r>
    </w:p>
    <w:bookmarkEnd w:id="0"/>
    <w:p w14:paraId="771E3F31" w14:textId="0AC03C73"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Los profesionales de SQF principales y suplentes designados están empleados a tiempo completo y han completado la capacitación basada en HACCP.</w:t>
      </w:r>
    </w:p>
    <w:p w14:paraId="5E6B3874" w14:textId="5337DD13"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Tanto los profesionales principales como los suplentes son personas dentro de la estructura organizacional con conocimiento, experiencia y responsabilidad técnica, de calidad, seguridad alimentaria y operativa.</w:t>
      </w:r>
    </w:p>
    <w:p w14:paraId="5261AB82" w14:textId="1DEB40B1"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Son competentes para implementar y mantener planes de seguridad alimentaria basados en HACCP.</w:t>
      </w:r>
    </w:p>
    <w:p w14:paraId="07FD6D40" w14:textId="370FD891"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Cuando el médico principal no esté disponible para hacerlo debido a una ausencia planificada o durante ella, el médico suplente asume esa responsabilidad para garantizar la continuidad del Sistema SQF.</w:t>
      </w:r>
    </w:p>
    <w:p w14:paraId="2054ED9E" w14:textId="2E830BD2" w:rsidR="006D7E4B" w:rsidRPr="00457124" w:rsidRDefault="006D7E4B" w:rsidP="00A90636">
      <w:pPr>
        <w:pStyle w:val="ListParagraph"/>
        <w:numPr>
          <w:ilvl w:val="2"/>
          <w:numId w:val="1"/>
        </w:numPr>
        <w:spacing w:line="276" w:lineRule="auto"/>
        <w:rPr>
          <w:rFonts w:ascii="Arial" w:hAnsi="Arial" w:cs="Arial"/>
          <w:sz w:val="20"/>
          <w:szCs w:val="20"/>
        </w:rPr>
      </w:pPr>
      <w:r w:rsidRPr="00457124">
        <w:rPr>
          <w:rFonts w:ascii="Arial" w:hAnsi="Arial" w:cs="Arial"/>
          <w:sz w:val="20"/>
          <w:szCs w:val="20"/>
        </w:rPr>
        <w:t>El profesional de SQF designado tiene un suplente identificado, capacitado y disponible para reemplazar al médico principal cuando sea necesario.</w:t>
      </w:r>
      <w:r w:rsidR="00997321" w:rsidRPr="00457124">
        <w:t xml:space="preserve"> </w:t>
      </w:r>
      <w:r w:rsidR="00997321" w:rsidRPr="00457124">
        <w:rPr>
          <w:rFonts w:ascii="Arial" w:hAnsi="Arial" w:cs="Arial"/>
          <w:sz w:val="20"/>
          <w:szCs w:val="20"/>
        </w:rPr>
        <w:t xml:space="preserve">Consulte </w:t>
      </w:r>
      <w:r w:rsidR="00997321" w:rsidRPr="00457124">
        <w:rPr>
          <w:rFonts w:ascii="Arial" w:hAnsi="Arial" w:cs="Arial"/>
          <w:i/>
          <w:iCs/>
          <w:sz w:val="20"/>
          <w:szCs w:val="20"/>
        </w:rPr>
        <w:t>la Carta de designación de profesionales de SQF.</w:t>
      </w:r>
    </w:p>
    <w:p w14:paraId="4AB0457B" w14:textId="6D86987D"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Sitios Alcance de la Certificación</w:t>
      </w:r>
    </w:p>
    <w:p w14:paraId="67665912" w14:textId="5F94D5F0"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El alcance de la certificación se aplica a todas las operaciones y a todos los recibos hasta la distribución de conformidad con el Código SQF sobre inocuidad de los alimentos para la fabricación de alimentos/suplementos dietéticos. Edición 9.</w:t>
      </w:r>
    </w:p>
    <w:p w14:paraId="5C73FC20" w14:textId="6BE052FE"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Períodos de bloqueo</w:t>
      </w:r>
    </w:p>
    <w:p w14:paraId="689C49BD" w14:textId="17DCCF50"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proofErr w:type="spellStart"/>
      <w:r w:rsidRPr="00457124">
        <w:rPr>
          <w:rFonts w:ascii="Arial" w:hAnsi="Arial" w:cs="Arial"/>
          <w:sz w:val="20"/>
          <w:szCs w:val="20"/>
        </w:rPr>
        <w:t>Blackout</w:t>
      </w:r>
      <w:proofErr w:type="spellEnd"/>
      <w:r w:rsidRPr="00457124">
        <w:rPr>
          <w:rFonts w:ascii="Arial" w:hAnsi="Arial" w:cs="Arial"/>
          <w:sz w:val="20"/>
          <w:szCs w:val="20"/>
        </w:rPr>
        <w:t xml:space="preserve"> Dates identificados como FERIADOS FEDERALES o declarados por la Alta Gerencia.</w:t>
      </w:r>
    </w:p>
    <w:p w14:paraId="4EC5CA00" w14:textId="6A1C12CF"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 xml:space="preserve">Las fechas restringidas deben comunicarse a los servicios de auditoría de terceros </w:t>
      </w:r>
      <w:r w:rsidR="00542F3B" w:rsidRPr="00457124">
        <w:rPr>
          <w:rFonts w:ascii="Arial" w:hAnsi="Arial" w:cs="Arial"/>
          <w:sz w:val="20"/>
          <w:szCs w:val="20"/>
        </w:rPr>
        <w:t xml:space="preserve">para </w:t>
      </w:r>
      <w:r w:rsidRPr="00457124">
        <w:rPr>
          <w:rFonts w:ascii="Arial" w:hAnsi="Arial" w:cs="Arial"/>
          <w:sz w:val="20"/>
          <w:szCs w:val="20"/>
        </w:rPr>
        <w:t xml:space="preserve">no infringir las recertificaciones del sitio. </w:t>
      </w:r>
      <w:r w:rsidR="00997321" w:rsidRPr="00457124">
        <w:rPr>
          <w:rFonts w:ascii="Arial" w:hAnsi="Arial" w:cs="Arial"/>
          <w:sz w:val="20"/>
          <w:szCs w:val="20"/>
        </w:rPr>
        <w:t xml:space="preserve">Consulte la </w:t>
      </w:r>
      <w:r w:rsidR="00997321" w:rsidRPr="00457124">
        <w:rPr>
          <w:rFonts w:ascii="Arial" w:hAnsi="Arial" w:cs="Arial"/>
          <w:i/>
          <w:iCs/>
          <w:sz w:val="20"/>
          <w:szCs w:val="20"/>
        </w:rPr>
        <w:t>Política de fechas restringidas.</w:t>
      </w:r>
    </w:p>
    <w:p w14:paraId="6D89AC9E" w14:textId="13DCF58E"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Descripciones de puestos Provisión de personal clave</w:t>
      </w:r>
    </w:p>
    <w:p w14:paraId="55B02567" w14:textId="2849D3E1"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Seguridad alimentaria y responsabilidad reglamentaria</w:t>
      </w:r>
    </w:p>
    <w:p w14:paraId="6197D1EF" w14:textId="021E5A47" w:rsidR="006D7E4B" w:rsidRPr="00457124" w:rsidRDefault="006D7E4B" w:rsidP="00A90636">
      <w:pPr>
        <w:pStyle w:val="ListParagraph"/>
        <w:numPr>
          <w:ilvl w:val="3"/>
          <w:numId w:val="1"/>
        </w:numPr>
        <w:spacing w:after="0" w:line="276" w:lineRule="auto"/>
        <w:ind w:left="2340" w:hanging="900"/>
        <w:jc w:val="both"/>
        <w:rPr>
          <w:rFonts w:ascii="Arial" w:hAnsi="Arial" w:cs="Arial"/>
          <w:sz w:val="20"/>
          <w:szCs w:val="20"/>
        </w:rPr>
      </w:pPr>
      <w:r w:rsidRPr="00457124">
        <w:rPr>
          <w:rFonts w:ascii="Arial" w:hAnsi="Arial" w:cs="Arial"/>
          <w:sz w:val="20"/>
          <w:szCs w:val="20"/>
        </w:rPr>
        <w:t>Como parte de la inocuidad de los alimentos, el personal de calidad es responsable de cumplir con el Código SQF de inocuidad de los alimentos para la fabricación, el Sistema de gestión de la inocuidad de los alimentos, las GMP, HACCP, los Planes de inocuidad de los alimentos y las normas requeridas por la FSMA.</w:t>
      </w:r>
      <w:r w:rsidR="000B1D49" w:rsidRPr="00457124">
        <w:t xml:space="preserve"> </w:t>
      </w:r>
      <w:r w:rsidR="000B1D49" w:rsidRPr="00457124">
        <w:rPr>
          <w:rFonts w:ascii="Arial" w:hAnsi="Arial" w:cs="Arial"/>
          <w:sz w:val="20"/>
          <w:szCs w:val="20"/>
        </w:rPr>
        <w:t xml:space="preserve">Consulte </w:t>
      </w:r>
      <w:r w:rsidR="000B1D49" w:rsidRPr="00457124">
        <w:rPr>
          <w:rFonts w:ascii="Arial" w:hAnsi="Arial" w:cs="Arial"/>
          <w:i/>
          <w:iCs/>
          <w:sz w:val="20"/>
          <w:szCs w:val="20"/>
        </w:rPr>
        <w:t>Cualificación del personal - Programa de descripción de funciones.</w:t>
      </w:r>
    </w:p>
    <w:p w14:paraId="5AA13A24" w14:textId="359F2689"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Provisión para cobertura en todos los turnos y reemplazo durante una ausencia.</w:t>
      </w:r>
      <w:r w:rsidR="000B1D49" w:rsidRPr="00457124">
        <w:t xml:space="preserve"> </w:t>
      </w:r>
      <w:r w:rsidR="000B1D49" w:rsidRPr="00457124">
        <w:rPr>
          <w:rFonts w:ascii="Arial" w:hAnsi="Arial" w:cs="Arial"/>
          <w:sz w:val="20"/>
          <w:szCs w:val="20"/>
        </w:rPr>
        <w:t xml:space="preserve">Consulte </w:t>
      </w:r>
      <w:r w:rsidR="000B1D49" w:rsidRPr="00457124">
        <w:rPr>
          <w:rFonts w:ascii="Arial" w:hAnsi="Arial" w:cs="Arial"/>
          <w:i/>
          <w:iCs/>
          <w:sz w:val="20"/>
          <w:szCs w:val="20"/>
        </w:rPr>
        <w:t>Equipo de Seguridad Alimentaria/Defensa Alimentaria y Suplentes y Calificación del Personal - Programa de Descripciones de Trabajo.</w:t>
      </w:r>
    </w:p>
    <w:p w14:paraId="5CB2729D" w14:textId="525BA840"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Compromiso de gestión</w:t>
      </w:r>
    </w:p>
    <w:p w14:paraId="2CD9BEA5" w14:textId="77777777" w:rsidR="002559C7" w:rsidRPr="00457124" w:rsidRDefault="006D7E4B" w:rsidP="002559C7">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Se asegura de que los empleados estén capacitados y evaluados como competentes para llevar a cabo funciones laborales relacionadas con la seguridad alimentaria.</w:t>
      </w:r>
    </w:p>
    <w:p w14:paraId="767CB069" w14:textId="0D37B2F9" w:rsidR="006D7E4B" w:rsidRPr="00457124" w:rsidRDefault="006D7E4B" w:rsidP="002559C7">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 xml:space="preserve">Las descripciones de puestos reflejan las competencias requeridas de cada empleado para llevar a cabo sus responsabilidades de inocuidad de los alimentos y la capacitación necesaria para asegurar esas competencias </w:t>
      </w:r>
      <w:r w:rsidR="00615E35" w:rsidRPr="00457124">
        <w:rPr>
          <w:rFonts w:ascii="Arial MT" w:eastAsia="Arial MT" w:hAnsi="Arial MT" w:cs="Arial MT"/>
          <w:sz w:val="20"/>
        </w:rPr>
        <w:t>Consulte</w:t>
      </w:r>
      <w:r w:rsidR="00615E35" w:rsidRPr="00457124">
        <w:rPr>
          <w:rFonts w:ascii="Arial MT" w:eastAsia="Arial MT" w:hAnsi="Arial MT" w:cs="Arial MT"/>
          <w:spacing w:val="1"/>
          <w:sz w:val="20"/>
        </w:rPr>
        <w:t xml:space="preserve"> </w:t>
      </w:r>
      <w:r w:rsidR="00615E35" w:rsidRPr="00457124">
        <w:rPr>
          <w:rFonts w:ascii="Arial MT" w:eastAsia="Arial MT" w:hAnsi="Arial MT" w:cs="Arial MT"/>
          <w:i/>
          <w:iCs/>
          <w:spacing w:val="1"/>
          <w:sz w:val="20"/>
        </w:rPr>
        <w:t xml:space="preserve">SQF </w:t>
      </w:r>
      <w:r w:rsidR="00615E35" w:rsidRPr="00457124">
        <w:rPr>
          <w:rFonts w:ascii="Arial MT" w:eastAsia="Arial MT" w:hAnsi="Arial MT" w:cs="Arial MT"/>
          <w:i/>
          <w:iCs/>
          <w:sz w:val="20"/>
        </w:rPr>
        <w:t xml:space="preserve">2.9 Capacitación </w:t>
      </w:r>
      <w:r w:rsidR="00615E35" w:rsidRPr="00457124">
        <w:rPr>
          <w:rFonts w:ascii="Arial MT" w:eastAsia="Arial MT" w:hAnsi="Arial MT" w:cs="Arial MT"/>
          <w:sz w:val="20"/>
        </w:rPr>
        <w:t xml:space="preserve">y </w:t>
      </w:r>
      <w:r w:rsidR="00615E35" w:rsidRPr="00457124">
        <w:rPr>
          <w:rFonts w:ascii="Arial" w:eastAsia="Arial MT" w:hAnsi="Arial MT" w:cs="Arial MT"/>
          <w:i/>
          <w:sz w:val="20"/>
        </w:rPr>
        <w:t>personal</w:t>
      </w:r>
      <w:r w:rsidR="00615E35" w:rsidRPr="00457124">
        <w:rPr>
          <w:rFonts w:ascii="Arial" w:eastAsia="Arial MT" w:hAnsi="Arial MT" w:cs="Arial MT"/>
          <w:i/>
          <w:spacing w:val="-4"/>
          <w:sz w:val="20"/>
        </w:rPr>
        <w:t xml:space="preserve"> </w:t>
      </w:r>
      <w:r w:rsidR="00615E35" w:rsidRPr="00457124">
        <w:rPr>
          <w:rFonts w:ascii="Arial" w:eastAsia="Arial MT" w:hAnsi="Arial MT" w:cs="Arial MT"/>
          <w:i/>
          <w:sz w:val="20"/>
        </w:rPr>
        <w:t>Calificaci</w:t>
      </w:r>
      <w:r w:rsidR="00615E35" w:rsidRPr="00457124">
        <w:rPr>
          <w:rFonts w:ascii="Arial" w:eastAsia="Arial MT" w:hAnsi="Arial MT" w:cs="Arial MT"/>
          <w:i/>
          <w:sz w:val="20"/>
        </w:rPr>
        <w:t>ó</w:t>
      </w:r>
      <w:r w:rsidR="00615E35" w:rsidRPr="00457124">
        <w:rPr>
          <w:rFonts w:ascii="Arial" w:eastAsia="Arial MT" w:hAnsi="Arial MT" w:cs="Arial MT"/>
          <w:i/>
          <w:sz w:val="20"/>
        </w:rPr>
        <w:t>n</w:t>
      </w:r>
      <w:r w:rsidR="00615E35" w:rsidRPr="00457124">
        <w:rPr>
          <w:rFonts w:ascii="Arial" w:eastAsia="Arial MT" w:hAnsi="Arial MT" w:cs="Arial MT"/>
          <w:i/>
          <w:spacing w:val="2"/>
          <w:sz w:val="20"/>
        </w:rPr>
        <w:t xml:space="preserve"> </w:t>
      </w:r>
      <w:r w:rsidR="00615E35" w:rsidRPr="00457124">
        <w:rPr>
          <w:rFonts w:ascii="Arial" w:eastAsia="Arial MT" w:hAnsi="Arial MT" w:cs="Arial MT"/>
          <w:i/>
          <w:sz w:val="20"/>
        </w:rPr>
        <w:t>-</w:t>
      </w:r>
      <w:r w:rsidR="00615E35" w:rsidRPr="00457124">
        <w:rPr>
          <w:rFonts w:ascii="Arial" w:eastAsia="Arial MT" w:hAnsi="Arial MT" w:cs="Arial MT"/>
          <w:i/>
          <w:spacing w:val="-2"/>
          <w:sz w:val="20"/>
        </w:rPr>
        <w:t xml:space="preserve"> </w:t>
      </w:r>
      <w:r w:rsidR="00615E35" w:rsidRPr="00457124">
        <w:rPr>
          <w:rFonts w:ascii="Arial" w:eastAsia="Arial MT" w:hAnsi="Arial MT" w:cs="Arial MT"/>
          <w:i/>
          <w:sz w:val="20"/>
        </w:rPr>
        <w:t>Trabajo</w:t>
      </w:r>
      <w:r w:rsidR="00615E35" w:rsidRPr="00457124">
        <w:rPr>
          <w:rFonts w:ascii="Arial" w:eastAsia="Arial MT" w:hAnsi="Arial MT" w:cs="Arial MT"/>
          <w:i/>
          <w:spacing w:val="-4"/>
          <w:sz w:val="20"/>
        </w:rPr>
        <w:t xml:space="preserve"> </w:t>
      </w:r>
      <w:r w:rsidR="00615E35" w:rsidRPr="00457124">
        <w:rPr>
          <w:rFonts w:ascii="Arial" w:eastAsia="Arial MT" w:hAnsi="Arial MT" w:cs="Arial MT"/>
          <w:i/>
          <w:sz w:val="20"/>
        </w:rPr>
        <w:t>Descripciones</w:t>
      </w:r>
      <w:r w:rsidR="00615E35" w:rsidRPr="00457124">
        <w:rPr>
          <w:rFonts w:ascii="Arial" w:eastAsia="Arial MT" w:hAnsi="Arial MT" w:cs="Arial MT"/>
          <w:i/>
          <w:spacing w:val="2"/>
          <w:sz w:val="20"/>
        </w:rPr>
        <w:t xml:space="preserve"> </w:t>
      </w:r>
      <w:r w:rsidR="00615E35" w:rsidRPr="00457124">
        <w:rPr>
          <w:rFonts w:ascii="Arial" w:eastAsia="Arial MT" w:hAnsi="Arial MT" w:cs="Arial MT"/>
          <w:i/>
          <w:sz w:val="20"/>
        </w:rPr>
        <w:t xml:space="preserve">Programa </w:t>
      </w:r>
      <w:r w:rsidR="00615E35" w:rsidRPr="00457124">
        <w:rPr>
          <w:rFonts w:ascii="Arial" w:eastAsia="Arial MT" w:hAnsi="Arial MT" w:cs="Arial MT"/>
          <w:iCs/>
          <w:sz w:val="20"/>
        </w:rPr>
        <w:t xml:space="preserve">y </w:t>
      </w:r>
      <w:r w:rsidR="00615E35" w:rsidRPr="00457124">
        <w:rPr>
          <w:rFonts w:ascii="Arial" w:eastAsia="Arial MT" w:hAnsi="Arial" w:cs="Arial MT"/>
          <w:i/>
          <w:sz w:val="20"/>
        </w:rPr>
        <w:t>Capacitación</w:t>
      </w:r>
      <w:r w:rsidR="00615E35" w:rsidRPr="00457124">
        <w:rPr>
          <w:rFonts w:ascii="Arial" w:eastAsia="Arial MT" w:hAnsi="Arial" w:cs="Arial MT"/>
          <w:i/>
          <w:spacing w:val="-2"/>
          <w:sz w:val="20"/>
        </w:rPr>
        <w:t xml:space="preserve"> </w:t>
      </w:r>
      <w:r w:rsidR="00615E35" w:rsidRPr="00457124">
        <w:rPr>
          <w:rFonts w:ascii="Arial" w:eastAsia="Arial MT" w:hAnsi="Arial" w:cs="Arial MT"/>
          <w:i/>
          <w:sz w:val="20"/>
        </w:rPr>
        <w:t xml:space="preserve">programa </w:t>
      </w:r>
      <w:r w:rsidR="00615E35" w:rsidRPr="00457124">
        <w:rPr>
          <w:rFonts w:ascii="Arial" w:eastAsia="Arial MT" w:hAnsi="Arial" w:cs="Arial MT"/>
          <w:iCs/>
          <w:sz w:val="20"/>
        </w:rPr>
        <w:t>_</w:t>
      </w:r>
    </w:p>
    <w:p w14:paraId="5AA376C1" w14:textId="77777777" w:rsidR="006D7E4B" w:rsidRPr="00457124" w:rsidRDefault="006D7E4B" w:rsidP="00A90636">
      <w:pPr>
        <w:spacing w:after="0" w:line="276" w:lineRule="auto"/>
        <w:jc w:val="both"/>
        <w:rPr>
          <w:rFonts w:ascii="Arial" w:hAnsi="Arial" w:cs="Arial"/>
          <w:sz w:val="20"/>
          <w:szCs w:val="20"/>
        </w:rPr>
      </w:pPr>
    </w:p>
    <w:p w14:paraId="4C0FA54D" w14:textId="324C6048" w:rsidR="006D7E4B" w:rsidRPr="00457124" w:rsidRDefault="006D7E4B"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Responsabilidad</w:t>
      </w:r>
    </w:p>
    <w:p w14:paraId="0F4556FD" w14:textId="371686D8"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Practicante de SQF</w:t>
      </w:r>
    </w:p>
    <w:p w14:paraId="7226DD7B" w14:textId="763FDA64"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Supervisar el desarrollo, la implementación, la revisión y el mantenimiento del Sistema SQF del sitio.</w:t>
      </w:r>
    </w:p>
    <w:p w14:paraId="580BB304" w14:textId="0AAA2AF0"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Desarrollar, validar, verificar y mantener los planes de seguridad alimentaria de la empresa y supervisar la operación diaria del Sistema SQF.</w:t>
      </w:r>
    </w:p>
    <w:p w14:paraId="53DF79B1" w14:textId="3D3DEF5C"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Representar a la alta gerencia del sitio y garantizar que el sistema SQF funcione y sea efectivo las 24 horas del día, los 7 días de la semana.</w:t>
      </w:r>
    </w:p>
    <w:p w14:paraId="3F4C61F4" w14:textId="0C1482C7"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Comunicar al personal pertinente toda la información esencial para garantizar la implementación y el mantenimiento efectivos del Sistema SQF.</w:t>
      </w:r>
    </w:p>
    <w:p w14:paraId="7056A1A2" w14:textId="09E9C46B"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Revisión mensual y anual del Sistema SQF para el cumplimiento continuo.</w:t>
      </w:r>
    </w:p>
    <w:p w14:paraId="4683B571" w14:textId="6820F238"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Practicante suplente de SQF</w:t>
      </w:r>
    </w:p>
    <w:p w14:paraId="45D497FA" w14:textId="52F934C5"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Las mismas calificaciones y experiencia que el profesional principal de SQF y que esté disponible y sea capaz de llevar a cabo las funciones del profesional principal de SQF durante una ausencia prolongada.</w:t>
      </w:r>
    </w:p>
    <w:p w14:paraId="07D72931" w14:textId="3D6A4F05"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Gestión sénior del sitio</w:t>
      </w:r>
    </w:p>
    <w:p w14:paraId="6453E855" w14:textId="32664A69"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Responsable de las operaciones comerciales dentro del sitio y de la implementación y mejora del sistema de gestión de seguridad alimentaria (y calidad, si corresponde).</w:t>
      </w:r>
    </w:p>
    <w:p w14:paraId="0204F32D" w14:textId="19415E96" w:rsidR="006D7E4B" w:rsidRPr="00457124" w:rsidRDefault="006D7E4B" w:rsidP="00A90636">
      <w:pPr>
        <w:pStyle w:val="ListParagraph"/>
        <w:numPr>
          <w:ilvl w:val="2"/>
          <w:numId w:val="1"/>
        </w:numPr>
        <w:spacing w:after="0" w:line="276" w:lineRule="auto"/>
        <w:ind w:left="1440" w:hanging="630"/>
        <w:jc w:val="both"/>
        <w:rPr>
          <w:rFonts w:ascii="Arial" w:hAnsi="Arial" w:cs="Arial"/>
          <w:sz w:val="20"/>
          <w:szCs w:val="20"/>
        </w:rPr>
      </w:pPr>
      <w:r w:rsidRPr="00457124">
        <w:rPr>
          <w:rFonts w:ascii="Arial" w:hAnsi="Arial" w:cs="Arial"/>
          <w:sz w:val="20"/>
          <w:szCs w:val="20"/>
        </w:rPr>
        <w:t>Liderar y apoyar una cultura de seguridad alimentaria dentro del sitio y proporcionar el compromiso y los recursos para implementar y administrar el sistema SQF.</w:t>
      </w:r>
    </w:p>
    <w:p w14:paraId="12F1C736" w14:textId="77777777" w:rsidR="006D7E4B" w:rsidRPr="00457124" w:rsidRDefault="006D7E4B" w:rsidP="00A90636">
      <w:pPr>
        <w:spacing w:after="0" w:line="276" w:lineRule="auto"/>
        <w:jc w:val="both"/>
        <w:rPr>
          <w:rFonts w:ascii="Arial" w:hAnsi="Arial" w:cs="Arial"/>
          <w:sz w:val="20"/>
          <w:szCs w:val="20"/>
        </w:rPr>
      </w:pPr>
    </w:p>
    <w:p w14:paraId="60742F7F" w14:textId="7BD65C0F" w:rsidR="006D7E4B" w:rsidRPr="00457124" w:rsidRDefault="006D7E4B"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Acción correctiva</w:t>
      </w:r>
    </w:p>
    <w:p w14:paraId="644EF38D" w14:textId="699694CC" w:rsidR="006D7E4B" w:rsidRPr="00457124" w:rsidRDefault="006D7E4B" w:rsidP="00A90636">
      <w:pPr>
        <w:pStyle w:val="ListParagraph"/>
        <w:numPr>
          <w:ilvl w:val="1"/>
          <w:numId w:val="1"/>
        </w:numPr>
        <w:spacing w:after="0" w:line="276" w:lineRule="auto"/>
        <w:jc w:val="both"/>
        <w:rPr>
          <w:rFonts w:ascii="Arial" w:hAnsi="Arial" w:cs="Arial"/>
          <w:sz w:val="20"/>
          <w:szCs w:val="20"/>
        </w:rPr>
      </w:pPr>
      <w:r w:rsidRPr="00457124">
        <w:rPr>
          <w:rFonts w:ascii="Arial" w:hAnsi="Arial" w:cs="Arial"/>
          <w:sz w:val="20"/>
          <w:szCs w:val="20"/>
        </w:rPr>
        <w:t>En caso de que el Programa de responsabilidad de la gerencia no cumpla o se desvíe de los requisitos estándar de SQF, realice una revisión de la gerencia del FSMS para actualizar las responsabilidades del equipo de inocuidad de los alimentos y el líder de SQF.</w:t>
      </w:r>
    </w:p>
    <w:p w14:paraId="5BFB9B3D" w14:textId="77777777" w:rsidR="006D7E4B" w:rsidRPr="00457124" w:rsidRDefault="006D7E4B" w:rsidP="00A90636">
      <w:pPr>
        <w:spacing w:after="0" w:line="276" w:lineRule="auto"/>
        <w:jc w:val="both"/>
        <w:rPr>
          <w:rFonts w:ascii="Arial" w:hAnsi="Arial" w:cs="Arial"/>
          <w:sz w:val="20"/>
          <w:szCs w:val="20"/>
        </w:rPr>
      </w:pPr>
    </w:p>
    <w:p w14:paraId="5E7F60A1" w14:textId="04BEABFA" w:rsidR="006D7E4B" w:rsidRPr="00457124" w:rsidRDefault="006D7E4B"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Revisión – Departamento de Calidad</w:t>
      </w:r>
    </w:p>
    <w:p w14:paraId="57AAE8CA" w14:textId="208D9613"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Una declaración de política documentada, firmada por el gerente senior del sitio, que se compromete a cumplir con los requisitos reglamentarios y del cliente e indica cómo se cumplirán esos requisitos; establecer y lograr objetivos de inocuidad de los alimentos; revisar los objetivos de inocuidad de los alimentos periódicamente (al menos una vez al año); y mejorando continuamente su Sistema de gestión de inocuidad de los alimentos SQF.</w:t>
      </w:r>
    </w:p>
    <w:p w14:paraId="52B1613A" w14:textId="72C30954"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 moneda de la declaración de política.</w:t>
      </w:r>
    </w:p>
    <w:p w14:paraId="79EBD1B9" w14:textId="3F49BEB9"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 disponibilidad de la declaración de política para todo el personal dentro del sitio. Esto incluye confirmar la comprensión del empleado de la declaración de política.</w:t>
      </w:r>
    </w:p>
    <w:p w14:paraId="66D9965F" w14:textId="0B268591"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Los objetivos de inocuidad de los alimentos están establecidos y son realistas.</w:t>
      </w:r>
    </w:p>
    <w:p w14:paraId="446AB791" w14:textId="5FDED4A8"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Las actividades dentro del sitio cumplen con las expectativas regulatorias y de los clientes.</w:t>
      </w:r>
    </w:p>
    <w:p w14:paraId="4D111595" w14:textId="029107BA"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Las actividades dentro del sitio reflejan los objetivos de seguridad alimentaria establecidos. El auditor puede buscar las actas de las reuniones de inocuidad de los alimentos de la empresa y verificar si la gerencia participó en estas reuniones.</w:t>
      </w:r>
    </w:p>
    <w:p w14:paraId="2375E227" w14:textId="10E2241E"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 declaración de política, incluidos los objetivos de inocuidad de los alimentos, se revisa al menos una vez al año.</w:t>
      </w:r>
    </w:p>
    <w:p w14:paraId="13E43A6E" w14:textId="167E046D"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Existe una estructura organizativa actual y documentada que identifica a los responsables de la inocuidad de los alimentos y su interrelación, y es acordada por la alta dirección.</w:t>
      </w:r>
    </w:p>
    <w:p w14:paraId="35A24D80" w14:textId="43BDA32E"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Existen descripciones de trabajo para los puestos dentro del sitio que tienen la responsabilidad de la inocuidad de los alimentos. El auditor puede cuestionar por qué los puestos han estado vacantes durante un largo período de tiempo o si el sitio elige utilizar una gran reserva de mano de obra temporal.</w:t>
      </w:r>
    </w:p>
    <w:p w14:paraId="2E84028A" w14:textId="348D0A8E"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Se cuenta con los recursos adecuados para cumplir con los objetivos de inocuidad de los alimentos y los requisitos del Sistema SQF. Esto incluye cobertura para todos los turnos operativos y ausencias.</w:t>
      </w:r>
    </w:p>
    <w:p w14:paraId="19623636" w14:textId="1E1A3164"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Los empleados dentro del sitio con responsabilidad por la inocuidad de los alimentos están claramente identificados, son conscientes de sus responsabilidades y están capacitados y son competentes para llevar a cabo estas responsabilidades.</w:t>
      </w:r>
    </w:p>
    <w:p w14:paraId="67C6736E" w14:textId="6DE579BB"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 alta gerencia se asegura de que todas las prácticas y actividades de inocuidad alimentaria designadas estén correctamente documentadas, cumplan con los requisitos del Código SQF y se implementen correcta y completamente en todos los turnos. Esto incluiría una revisión en cuanto a la puntualidad de la implementación de las acciones correctivas, la acción sobre las quejas y el tratamiento de las brechas identificadas en los programas del sitio.</w:t>
      </w:r>
    </w:p>
    <w:p w14:paraId="43473D8B" w14:textId="1B00CA36"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Hay un profesional de SQF designado que administra la implementación y el mantenimiento del Sistema SQF diariamente.</w:t>
      </w:r>
    </w:p>
    <w:p w14:paraId="1F10DDA2" w14:textId="7359E41F"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El profesional designado tiene las calificaciones necesarias para ser un profesional de SQF identificado en la carta de designación de SQF que es capaz y competente para llevar a cabo esta función.</w:t>
      </w:r>
    </w:p>
    <w:p w14:paraId="6513450C" w14:textId="0B0CEF04" w:rsidR="006D7E4B"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El profesional designado cuenta con el apoyo de la alta gerencia y tiene el tiempo y la disponibilidad para monitorear la efectividad del Sistema SQF; es competente y tiene la autoridad para tomar las medidas correctivas apropiadas cuando sea necesario; y comunica a los empleados relevantes cualquier información necesaria para mantener o mejorar el Sistema.</w:t>
      </w:r>
    </w:p>
    <w:p w14:paraId="13A0D6C5" w14:textId="5319B1EC" w:rsidR="00872050" w:rsidRPr="00457124" w:rsidRDefault="006D7E4B" w:rsidP="00A90636">
      <w:pPr>
        <w:pStyle w:val="ListParagraph"/>
        <w:numPr>
          <w:ilvl w:val="1"/>
          <w:numId w:val="1"/>
        </w:numPr>
        <w:spacing w:after="0" w:line="276" w:lineRule="auto"/>
        <w:ind w:left="900" w:hanging="522"/>
        <w:jc w:val="both"/>
        <w:rPr>
          <w:rFonts w:ascii="Arial" w:hAnsi="Arial" w:cs="Arial"/>
          <w:sz w:val="20"/>
          <w:szCs w:val="20"/>
        </w:rPr>
      </w:pPr>
      <w:r w:rsidRPr="00457124">
        <w:rPr>
          <w:rFonts w:ascii="Arial" w:hAnsi="Arial" w:cs="Arial"/>
          <w:sz w:val="20"/>
          <w:szCs w:val="20"/>
        </w:rPr>
        <w:t>La alta gerencia cuenta con procesos para medir la implementación efectiva del Sistema SQF e iniciar, proporcionar recursos y revisar programas de mejora.</w:t>
      </w:r>
    </w:p>
    <w:p w14:paraId="14C503B1" w14:textId="77777777" w:rsidR="00542F3B" w:rsidRPr="00457124" w:rsidRDefault="00542F3B" w:rsidP="00A90636">
      <w:pPr>
        <w:spacing w:after="0" w:line="276" w:lineRule="auto"/>
        <w:jc w:val="both"/>
        <w:rPr>
          <w:rFonts w:ascii="Arial" w:hAnsi="Arial" w:cs="Arial"/>
          <w:sz w:val="20"/>
          <w:szCs w:val="20"/>
        </w:rPr>
      </w:pPr>
    </w:p>
    <w:p w14:paraId="7545BB99" w14:textId="1588F4CB" w:rsidR="00872050" w:rsidRPr="00457124" w:rsidRDefault="00872050" w:rsidP="00A90636">
      <w:pPr>
        <w:pStyle w:val="ListParagraph"/>
        <w:numPr>
          <w:ilvl w:val="0"/>
          <w:numId w:val="1"/>
        </w:numPr>
        <w:spacing w:after="0" w:line="276" w:lineRule="auto"/>
        <w:jc w:val="both"/>
        <w:rPr>
          <w:rFonts w:ascii="Arial" w:hAnsi="Arial" w:cs="Arial"/>
          <w:sz w:val="20"/>
          <w:szCs w:val="20"/>
        </w:rPr>
      </w:pPr>
      <w:r w:rsidRPr="00457124">
        <w:rPr>
          <w:rFonts w:ascii="Arial" w:hAnsi="Arial" w:cs="Arial"/>
          <w:sz w:val="20"/>
          <w:szCs w:val="20"/>
        </w:rPr>
        <w:t>Historia</w:t>
      </w:r>
    </w:p>
    <w:tbl>
      <w:tblPr>
        <w:tblW w:w="4879" w:type="pct"/>
        <w:tblInd w:w="80" w:type="dxa"/>
        <w:tblLook w:val="0400" w:firstRow="0" w:lastRow="0" w:firstColumn="0" w:lastColumn="0" w:noHBand="0" w:noVBand="1"/>
      </w:tblPr>
      <w:tblGrid>
        <w:gridCol w:w="1342"/>
        <w:gridCol w:w="1717"/>
        <w:gridCol w:w="2971"/>
        <w:gridCol w:w="1765"/>
        <w:gridCol w:w="2022"/>
      </w:tblGrid>
      <w:tr w:rsidR="00C617CF" w:rsidRPr="00457124" w14:paraId="66D39DF4" w14:textId="77777777" w:rsidTr="0018017C">
        <w:trPr>
          <w:trHeight w:val="520"/>
        </w:trPr>
        <w:tc>
          <w:tcPr>
            <w:tcW w:w="684" w:type="pct"/>
            <w:tcBorders>
              <w:top w:val="single" w:sz="8" w:space="0" w:color="000000"/>
              <w:left w:val="single" w:sz="8" w:space="0" w:color="000000"/>
              <w:bottom w:val="single" w:sz="8" w:space="0" w:color="000000"/>
              <w:right w:val="single" w:sz="8" w:space="0" w:color="000000"/>
            </w:tcBorders>
            <w:vAlign w:val="center"/>
          </w:tcPr>
          <w:p w14:paraId="40917B75" w14:textId="77777777" w:rsidR="00872050" w:rsidRPr="00457124" w:rsidRDefault="00872050" w:rsidP="00A90636">
            <w:pPr>
              <w:spacing w:after="0" w:line="276" w:lineRule="auto"/>
              <w:ind w:right="-105"/>
              <w:jc w:val="center"/>
              <w:rPr>
                <w:rFonts w:ascii="Arial" w:hAnsi="Arial" w:cs="Arial"/>
                <w:sz w:val="20"/>
                <w:szCs w:val="20"/>
              </w:rPr>
            </w:pPr>
            <w:r w:rsidRPr="00457124">
              <w:rPr>
                <w:rFonts w:ascii="Arial" w:hAnsi="Arial" w:cs="Arial"/>
                <w:sz w:val="20"/>
                <w:szCs w:val="20"/>
              </w:rPr>
              <w:t>Revisión número.:</w:t>
            </w:r>
          </w:p>
        </w:tc>
        <w:tc>
          <w:tcPr>
            <w:tcW w:w="875" w:type="pct"/>
            <w:tcBorders>
              <w:top w:val="single" w:sz="8" w:space="0" w:color="000000"/>
              <w:left w:val="single" w:sz="8" w:space="0" w:color="000000"/>
              <w:bottom w:val="single" w:sz="8" w:space="0" w:color="000000"/>
              <w:right w:val="single" w:sz="8" w:space="0" w:color="000000"/>
            </w:tcBorders>
            <w:vAlign w:val="center"/>
          </w:tcPr>
          <w:p w14:paraId="283A1445" w14:textId="77777777" w:rsidR="00872050" w:rsidRPr="00457124" w:rsidRDefault="00872050" w:rsidP="00A90636">
            <w:pPr>
              <w:spacing w:after="0" w:line="276" w:lineRule="auto"/>
              <w:ind w:left="-284" w:right="-285"/>
              <w:jc w:val="center"/>
              <w:rPr>
                <w:rFonts w:ascii="Arial" w:hAnsi="Arial" w:cs="Arial"/>
                <w:sz w:val="20"/>
                <w:szCs w:val="20"/>
              </w:rPr>
            </w:pPr>
            <w:r w:rsidRPr="00457124">
              <w:rPr>
                <w:rFonts w:ascii="Arial" w:hAnsi="Arial" w:cs="Arial"/>
                <w:sz w:val="20"/>
                <w:szCs w:val="20"/>
              </w:rPr>
              <w:t>Fecha de revisión:</w:t>
            </w:r>
          </w:p>
        </w:tc>
        <w:tc>
          <w:tcPr>
            <w:tcW w:w="1513" w:type="pct"/>
            <w:tcBorders>
              <w:top w:val="single" w:sz="8" w:space="0" w:color="000000"/>
              <w:left w:val="single" w:sz="8" w:space="0" w:color="000000"/>
              <w:bottom w:val="single" w:sz="8" w:space="0" w:color="000000"/>
              <w:right w:val="single" w:sz="8" w:space="0" w:color="000000"/>
            </w:tcBorders>
            <w:vAlign w:val="center"/>
          </w:tcPr>
          <w:p w14:paraId="5728550F" w14:textId="77777777" w:rsidR="00872050" w:rsidRPr="00457124" w:rsidRDefault="00872050" w:rsidP="00A90636">
            <w:pPr>
              <w:spacing w:after="0" w:line="276" w:lineRule="auto"/>
              <w:ind w:left="37"/>
              <w:jc w:val="center"/>
              <w:rPr>
                <w:rFonts w:ascii="Arial" w:hAnsi="Arial" w:cs="Arial"/>
                <w:sz w:val="20"/>
                <w:szCs w:val="20"/>
              </w:rPr>
            </w:pPr>
            <w:r w:rsidRPr="00457124">
              <w:rPr>
                <w:rFonts w:ascii="Arial" w:hAnsi="Arial" w:cs="Arial"/>
                <w:sz w:val="20"/>
                <w:szCs w:val="20"/>
              </w:rPr>
              <w:t>Descripción de Cambio:</w:t>
            </w:r>
          </w:p>
        </w:tc>
        <w:tc>
          <w:tcPr>
            <w:tcW w:w="899" w:type="pct"/>
            <w:tcBorders>
              <w:top w:val="single" w:sz="8" w:space="0" w:color="000000"/>
              <w:left w:val="single" w:sz="8" w:space="0" w:color="000000"/>
              <w:bottom w:val="single" w:sz="8" w:space="0" w:color="000000"/>
              <w:right w:val="single" w:sz="8" w:space="0" w:color="000000"/>
            </w:tcBorders>
            <w:vAlign w:val="center"/>
          </w:tcPr>
          <w:p w14:paraId="415410EB" w14:textId="77777777" w:rsidR="00872050" w:rsidRPr="00457124" w:rsidRDefault="00872050" w:rsidP="00A90636">
            <w:pPr>
              <w:spacing w:after="0" w:line="276" w:lineRule="auto"/>
              <w:ind w:left="38"/>
              <w:jc w:val="center"/>
              <w:rPr>
                <w:rFonts w:ascii="Arial" w:hAnsi="Arial" w:cs="Arial"/>
                <w:sz w:val="20"/>
                <w:szCs w:val="20"/>
              </w:rPr>
            </w:pPr>
            <w:r w:rsidRPr="00457124">
              <w:rPr>
                <w:rFonts w:ascii="Arial" w:hAnsi="Arial" w:cs="Arial"/>
                <w:sz w:val="20"/>
                <w:szCs w:val="20"/>
              </w:rPr>
              <w:t>Autor / Autor Nombre:</w:t>
            </w:r>
          </w:p>
        </w:tc>
        <w:tc>
          <w:tcPr>
            <w:tcW w:w="1030" w:type="pct"/>
            <w:tcBorders>
              <w:top w:val="single" w:sz="8" w:space="0" w:color="000000"/>
              <w:left w:val="single" w:sz="8" w:space="0" w:color="000000"/>
              <w:bottom w:val="single" w:sz="8" w:space="0" w:color="000000"/>
              <w:right w:val="single" w:sz="8" w:space="0" w:color="000000"/>
            </w:tcBorders>
            <w:vAlign w:val="center"/>
          </w:tcPr>
          <w:p w14:paraId="5119D37F" w14:textId="77777777" w:rsidR="00872050" w:rsidRPr="00457124" w:rsidRDefault="00872050" w:rsidP="00A90636">
            <w:pPr>
              <w:spacing w:after="0" w:line="276" w:lineRule="auto"/>
              <w:ind w:left="38"/>
              <w:jc w:val="center"/>
              <w:rPr>
                <w:rFonts w:ascii="Arial" w:hAnsi="Arial" w:cs="Arial"/>
                <w:sz w:val="20"/>
                <w:szCs w:val="20"/>
              </w:rPr>
            </w:pPr>
            <w:r w:rsidRPr="00457124">
              <w:rPr>
                <w:rFonts w:ascii="Arial" w:hAnsi="Arial" w:cs="Arial"/>
                <w:sz w:val="20"/>
                <w:szCs w:val="20"/>
              </w:rPr>
              <w:t>Título / Departamento:</w:t>
            </w:r>
          </w:p>
        </w:tc>
      </w:tr>
      <w:tr w:rsidR="00C617CF" w:rsidRPr="00457124" w14:paraId="165AB40F" w14:textId="77777777" w:rsidTr="0018017C">
        <w:trPr>
          <w:trHeight w:val="490"/>
        </w:trPr>
        <w:tc>
          <w:tcPr>
            <w:tcW w:w="684" w:type="pct"/>
            <w:tcBorders>
              <w:top w:val="single" w:sz="8" w:space="0" w:color="000000"/>
              <w:left w:val="single" w:sz="8" w:space="0" w:color="000000"/>
              <w:bottom w:val="single" w:sz="8" w:space="0" w:color="000000"/>
              <w:right w:val="single" w:sz="8" w:space="0" w:color="000000"/>
            </w:tcBorders>
            <w:vAlign w:val="center"/>
          </w:tcPr>
          <w:p w14:paraId="5F5F8C48" w14:textId="77777777" w:rsidR="00872050" w:rsidRPr="00457124" w:rsidRDefault="00872050" w:rsidP="00A90636">
            <w:pPr>
              <w:spacing w:after="0" w:line="276" w:lineRule="auto"/>
              <w:jc w:val="center"/>
              <w:rPr>
                <w:rFonts w:ascii="Arial" w:hAnsi="Arial" w:cs="Arial"/>
                <w:sz w:val="20"/>
                <w:szCs w:val="20"/>
              </w:rPr>
            </w:pPr>
            <w:r w:rsidRPr="00457124">
              <w:rPr>
                <w:rFonts w:ascii="Arial" w:hAnsi="Arial" w:cs="Arial"/>
                <w:sz w:val="20"/>
                <w:szCs w:val="20"/>
              </w:rPr>
              <w:t>0</w:t>
            </w:r>
          </w:p>
        </w:tc>
        <w:tc>
          <w:tcPr>
            <w:tcW w:w="875" w:type="pct"/>
            <w:tcBorders>
              <w:top w:val="single" w:sz="8" w:space="0" w:color="000000"/>
              <w:left w:val="single" w:sz="8" w:space="0" w:color="000000"/>
              <w:bottom w:val="single" w:sz="8" w:space="0" w:color="000000"/>
              <w:right w:val="single" w:sz="8" w:space="0" w:color="000000"/>
            </w:tcBorders>
            <w:vAlign w:val="center"/>
          </w:tcPr>
          <w:p w14:paraId="6F957C8C" w14:textId="77777777" w:rsidR="00872050" w:rsidRPr="00457124" w:rsidRDefault="00872050" w:rsidP="00A90636">
            <w:pPr>
              <w:spacing w:after="0" w:line="276" w:lineRule="auto"/>
              <w:ind w:left="40"/>
              <w:jc w:val="center"/>
              <w:rPr>
                <w:rFonts w:ascii="Arial" w:hAnsi="Arial" w:cs="Arial"/>
                <w:sz w:val="20"/>
                <w:szCs w:val="20"/>
              </w:rPr>
            </w:pPr>
            <w:bookmarkStart w:id="1" w:name="_heading=h.gjdgxs" w:colFirst="0" w:colLast="0"/>
            <w:bookmarkEnd w:id="1"/>
            <w:r w:rsidRPr="00457124">
              <w:rPr>
                <w:rFonts w:ascii="Arial" w:hAnsi="Arial" w:cs="Arial"/>
                <w:sz w:val="20"/>
                <w:szCs w:val="20"/>
              </w:rPr>
              <w:t>20210408</w:t>
            </w:r>
          </w:p>
        </w:tc>
        <w:tc>
          <w:tcPr>
            <w:tcW w:w="1513" w:type="pct"/>
            <w:tcBorders>
              <w:top w:val="single" w:sz="8" w:space="0" w:color="000000"/>
              <w:left w:val="single" w:sz="8" w:space="0" w:color="000000"/>
              <w:bottom w:val="single" w:sz="8" w:space="0" w:color="000000"/>
              <w:right w:val="single" w:sz="8" w:space="0" w:color="000000"/>
            </w:tcBorders>
            <w:vAlign w:val="center"/>
          </w:tcPr>
          <w:p w14:paraId="54D7F142" w14:textId="77777777" w:rsidR="00872050" w:rsidRPr="00457124" w:rsidRDefault="00872050" w:rsidP="00A90636">
            <w:pPr>
              <w:spacing w:after="0" w:line="276" w:lineRule="auto"/>
              <w:ind w:left="37"/>
              <w:jc w:val="center"/>
              <w:rPr>
                <w:rFonts w:ascii="Arial" w:hAnsi="Arial" w:cs="Arial"/>
                <w:sz w:val="20"/>
                <w:szCs w:val="20"/>
              </w:rPr>
            </w:pPr>
            <w:r w:rsidRPr="00457124">
              <w:rPr>
                <w:rFonts w:ascii="Arial" w:hAnsi="Arial" w:cs="Arial"/>
                <w:sz w:val="20"/>
                <w:szCs w:val="20"/>
              </w:rPr>
              <w:t>Original</w:t>
            </w:r>
          </w:p>
        </w:tc>
        <w:tc>
          <w:tcPr>
            <w:tcW w:w="899" w:type="pct"/>
            <w:tcBorders>
              <w:top w:val="single" w:sz="8" w:space="0" w:color="000000"/>
              <w:left w:val="single" w:sz="8" w:space="0" w:color="000000"/>
              <w:bottom w:val="single" w:sz="8" w:space="0" w:color="000000"/>
              <w:right w:val="single" w:sz="8" w:space="0" w:color="000000"/>
            </w:tcBorders>
            <w:vAlign w:val="center"/>
          </w:tcPr>
          <w:p w14:paraId="7B4F481D" w14:textId="181B9ACD" w:rsidR="00872050" w:rsidRPr="00457124" w:rsidRDefault="0018017C" w:rsidP="00A90636">
            <w:pPr>
              <w:spacing w:after="0" w:line="276" w:lineRule="auto"/>
              <w:ind w:left="38"/>
              <w:jc w:val="center"/>
              <w:rPr>
                <w:rFonts w:ascii="Arial" w:hAnsi="Arial" w:cs="Arial"/>
                <w:sz w:val="20"/>
                <w:szCs w:val="20"/>
              </w:rPr>
            </w:pPr>
            <w:r w:rsidRPr="00457124">
              <w:rPr>
                <w:rFonts w:ascii="Arial" w:hAnsi="Arial" w:cs="Arial"/>
                <w:sz w:val="20"/>
                <w:szCs w:val="20"/>
              </w:rPr>
              <w:t>A</w:t>
            </w:r>
            <w:r w:rsidR="00872050" w:rsidRPr="00457124">
              <w:rPr>
                <w:rFonts w:ascii="Arial" w:hAnsi="Arial" w:cs="Arial"/>
                <w:sz w:val="20"/>
                <w:szCs w:val="20"/>
              </w:rPr>
              <w:t xml:space="preserve">rnel </w:t>
            </w:r>
            <w:r w:rsidRPr="00457124">
              <w:rPr>
                <w:rFonts w:ascii="Arial" w:hAnsi="Arial" w:cs="Arial"/>
                <w:sz w:val="20"/>
                <w:szCs w:val="20"/>
              </w:rPr>
              <w:t>Ryan</w:t>
            </w:r>
          </w:p>
        </w:tc>
        <w:tc>
          <w:tcPr>
            <w:tcW w:w="1030" w:type="pct"/>
            <w:tcBorders>
              <w:top w:val="single" w:sz="8" w:space="0" w:color="000000"/>
              <w:left w:val="single" w:sz="8" w:space="0" w:color="000000"/>
              <w:bottom w:val="single" w:sz="8" w:space="0" w:color="000000"/>
              <w:right w:val="single" w:sz="8" w:space="0" w:color="000000"/>
            </w:tcBorders>
            <w:vAlign w:val="center"/>
          </w:tcPr>
          <w:p w14:paraId="2B8E8A41" w14:textId="77777777" w:rsidR="00872050" w:rsidRPr="00457124" w:rsidRDefault="00872050" w:rsidP="00A90636">
            <w:pPr>
              <w:spacing w:after="0" w:line="276" w:lineRule="auto"/>
              <w:ind w:left="38"/>
              <w:jc w:val="center"/>
              <w:rPr>
                <w:rFonts w:ascii="Arial" w:hAnsi="Arial" w:cs="Arial"/>
                <w:sz w:val="20"/>
                <w:szCs w:val="20"/>
              </w:rPr>
            </w:pPr>
            <w:r w:rsidRPr="00457124">
              <w:rPr>
                <w:rFonts w:ascii="Arial" w:hAnsi="Arial" w:cs="Arial"/>
                <w:sz w:val="20"/>
                <w:szCs w:val="20"/>
              </w:rPr>
              <w:t>PCQI/Cumplimiento</w:t>
            </w:r>
          </w:p>
        </w:tc>
      </w:tr>
      <w:tr w:rsidR="00C617CF" w:rsidRPr="00457124" w14:paraId="60338D75" w14:textId="77777777" w:rsidTr="0018017C">
        <w:trPr>
          <w:trHeight w:val="490"/>
        </w:trPr>
        <w:tc>
          <w:tcPr>
            <w:tcW w:w="684" w:type="pct"/>
            <w:tcBorders>
              <w:top w:val="single" w:sz="8" w:space="0" w:color="000000"/>
              <w:left w:val="single" w:sz="8" w:space="0" w:color="000000"/>
              <w:bottom w:val="single" w:sz="8" w:space="0" w:color="000000"/>
              <w:right w:val="single" w:sz="8" w:space="0" w:color="000000"/>
            </w:tcBorders>
            <w:vAlign w:val="center"/>
          </w:tcPr>
          <w:p w14:paraId="30BA7220" w14:textId="77777777" w:rsidR="00872050" w:rsidRPr="00457124" w:rsidRDefault="00872050" w:rsidP="00A90636">
            <w:pPr>
              <w:spacing w:after="0" w:line="276" w:lineRule="auto"/>
              <w:jc w:val="center"/>
              <w:rPr>
                <w:rFonts w:ascii="Arial" w:hAnsi="Arial" w:cs="Arial"/>
                <w:sz w:val="20"/>
                <w:szCs w:val="20"/>
              </w:rPr>
            </w:pPr>
            <w:r w:rsidRPr="00457124">
              <w:rPr>
                <w:rFonts w:ascii="Arial" w:hAnsi="Arial" w:cs="Arial"/>
                <w:sz w:val="20"/>
                <w:szCs w:val="20"/>
              </w:rPr>
              <w:t>1</w:t>
            </w:r>
          </w:p>
        </w:tc>
        <w:tc>
          <w:tcPr>
            <w:tcW w:w="875" w:type="pct"/>
            <w:tcBorders>
              <w:top w:val="single" w:sz="8" w:space="0" w:color="000000"/>
              <w:left w:val="single" w:sz="8" w:space="0" w:color="000000"/>
              <w:bottom w:val="single" w:sz="8" w:space="0" w:color="000000"/>
              <w:right w:val="single" w:sz="8" w:space="0" w:color="000000"/>
            </w:tcBorders>
            <w:vAlign w:val="center"/>
          </w:tcPr>
          <w:p w14:paraId="7BB904D2" w14:textId="77777777" w:rsidR="00872050" w:rsidRPr="00457124" w:rsidRDefault="00872050" w:rsidP="00A90636">
            <w:pPr>
              <w:spacing w:after="0" w:line="276" w:lineRule="auto"/>
              <w:ind w:left="40"/>
              <w:jc w:val="center"/>
              <w:rPr>
                <w:rFonts w:ascii="Arial" w:hAnsi="Arial" w:cs="Arial"/>
                <w:sz w:val="20"/>
                <w:szCs w:val="20"/>
              </w:rPr>
            </w:pPr>
            <w:r w:rsidRPr="00457124">
              <w:rPr>
                <w:rFonts w:ascii="Arial" w:hAnsi="Arial" w:cs="Arial"/>
                <w:sz w:val="20"/>
                <w:szCs w:val="20"/>
              </w:rPr>
              <w:t>20220215</w:t>
            </w:r>
          </w:p>
        </w:tc>
        <w:tc>
          <w:tcPr>
            <w:tcW w:w="1513" w:type="pct"/>
            <w:tcBorders>
              <w:top w:val="single" w:sz="8" w:space="0" w:color="000000"/>
              <w:left w:val="single" w:sz="8" w:space="0" w:color="000000"/>
              <w:bottom w:val="single" w:sz="8" w:space="0" w:color="000000"/>
              <w:right w:val="single" w:sz="8" w:space="0" w:color="000000"/>
            </w:tcBorders>
            <w:vAlign w:val="center"/>
          </w:tcPr>
          <w:p w14:paraId="03FAEC45" w14:textId="77777777" w:rsidR="00872050" w:rsidRPr="00457124" w:rsidRDefault="00872050" w:rsidP="00A90636">
            <w:pPr>
              <w:pStyle w:val="ListParagraph"/>
              <w:numPr>
                <w:ilvl w:val="0"/>
                <w:numId w:val="2"/>
              </w:numPr>
              <w:pBdr>
                <w:top w:val="nil"/>
                <w:left w:val="nil"/>
                <w:bottom w:val="nil"/>
                <w:right w:val="nil"/>
                <w:between w:val="nil"/>
              </w:pBdr>
              <w:spacing w:after="0" w:line="276" w:lineRule="auto"/>
              <w:ind w:left="256" w:hanging="256"/>
              <w:contextualSpacing w:val="0"/>
              <w:rPr>
                <w:rFonts w:ascii="Arial" w:hAnsi="Arial" w:cs="Arial"/>
                <w:sz w:val="20"/>
                <w:szCs w:val="20"/>
              </w:rPr>
            </w:pPr>
            <w:r w:rsidRPr="00457124">
              <w:rPr>
                <w:rFonts w:ascii="Arial" w:hAnsi="Arial" w:cs="Arial"/>
                <w:sz w:val="20"/>
                <w:szCs w:val="20"/>
              </w:rPr>
              <w:t>Se agregó la Sección 2.2.4 Objetivos de seguridad alimentaria</w:t>
            </w:r>
          </w:p>
          <w:p w14:paraId="4C46CFD5" w14:textId="77777777" w:rsidR="00872050" w:rsidRPr="00457124" w:rsidRDefault="00872050" w:rsidP="00A90636">
            <w:pPr>
              <w:pStyle w:val="ListParagraph"/>
              <w:numPr>
                <w:ilvl w:val="0"/>
                <w:numId w:val="2"/>
              </w:numPr>
              <w:spacing w:after="0" w:line="276" w:lineRule="auto"/>
              <w:ind w:left="256" w:hanging="256"/>
              <w:rPr>
                <w:rFonts w:ascii="Arial" w:hAnsi="Arial" w:cs="Arial"/>
                <w:sz w:val="20"/>
                <w:szCs w:val="20"/>
              </w:rPr>
            </w:pPr>
            <w:r w:rsidRPr="00457124">
              <w:rPr>
                <w:rFonts w:ascii="Arial" w:hAnsi="Arial" w:cs="Arial"/>
                <w:sz w:val="20"/>
                <w:szCs w:val="20"/>
              </w:rPr>
              <w:t>Documentos de referencia agregados Sección 6.9 a 6.12</w:t>
            </w:r>
          </w:p>
        </w:tc>
        <w:tc>
          <w:tcPr>
            <w:tcW w:w="899" w:type="pct"/>
            <w:tcBorders>
              <w:top w:val="single" w:sz="8" w:space="0" w:color="000000"/>
              <w:left w:val="single" w:sz="8" w:space="0" w:color="000000"/>
              <w:bottom w:val="single" w:sz="8" w:space="0" w:color="000000"/>
              <w:right w:val="single" w:sz="8" w:space="0" w:color="000000"/>
            </w:tcBorders>
            <w:vAlign w:val="center"/>
          </w:tcPr>
          <w:p w14:paraId="53A00421" w14:textId="21D4F254" w:rsidR="00872050" w:rsidRPr="00457124" w:rsidRDefault="0018017C" w:rsidP="00A90636">
            <w:pPr>
              <w:spacing w:after="0" w:line="276" w:lineRule="auto"/>
              <w:ind w:left="38"/>
              <w:jc w:val="center"/>
              <w:rPr>
                <w:rFonts w:ascii="Arial" w:hAnsi="Arial" w:cs="Arial"/>
                <w:sz w:val="20"/>
                <w:szCs w:val="20"/>
              </w:rPr>
            </w:pPr>
            <w:r w:rsidRPr="00457124">
              <w:rPr>
                <w:rFonts w:ascii="Arial" w:hAnsi="Arial" w:cs="Arial"/>
                <w:sz w:val="20"/>
                <w:szCs w:val="20"/>
              </w:rPr>
              <w:t>A</w:t>
            </w:r>
            <w:r w:rsidR="00872050" w:rsidRPr="00457124">
              <w:rPr>
                <w:rFonts w:ascii="Arial" w:hAnsi="Arial" w:cs="Arial"/>
                <w:sz w:val="20"/>
                <w:szCs w:val="20"/>
              </w:rPr>
              <w:t xml:space="preserve">rnel </w:t>
            </w:r>
            <w:r w:rsidRPr="00457124">
              <w:rPr>
                <w:rFonts w:ascii="Arial" w:hAnsi="Arial" w:cs="Arial"/>
                <w:sz w:val="20"/>
                <w:szCs w:val="20"/>
              </w:rPr>
              <w:t>Ryan</w:t>
            </w:r>
          </w:p>
        </w:tc>
        <w:tc>
          <w:tcPr>
            <w:tcW w:w="1030" w:type="pct"/>
            <w:tcBorders>
              <w:top w:val="single" w:sz="8" w:space="0" w:color="000000"/>
              <w:left w:val="single" w:sz="8" w:space="0" w:color="000000"/>
              <w:bottom w:val="single" w:sz="8" w:space="0" w:color="000000"/>
              <w:right w:val="single" w:sz="8" w:space="0" w:color="000000"/>
            </w:tcBorders>
            <w:vAlign w:val="center"/>
          </w:tcPr>
          <w:p w14:paraId="3CCB5974" w14:textId="77777777" w:rsidR="00872050" w:rsidRPr="00457124" w:rsidRDefault="00872050" w:rsidP="00A90636">
            <w:pPr>
              <w:spacing w:after="0" w:line="276" w:lineRule="auto"/>
              <w:ind w:left="38"/>
              <w:jc w:val="center"/>
              <w:rPr>
                <w:rFonts w:ascii="Arial" w:hAnsi="Arial" w:cs="Arial"/>
                <w:sz w:val="20"/>
                <w:szCs w:val="20"/>
              </w:rPr>
            </w:pPr>
            <w:r w:rsidRPr="00457124">
              <w:rPr>
                <w:rFonts w:ascii="Arial" w:hAnsi="Arial" w:cs="Arial"/>
                <w:sz w:val="20"/>
                <w:szCs w:val="20"/>
              </w:rPr>
              <w:t>PCQI/Cumplimiento</w:t>
            </w:r>
          </w:p>
        </w:tc>
      </w:tr>
      <w:tr w:rsidR="00872050" w:rsidRPr="00457124" w14:paraId="3534C488" w14:textId="77777777" w:rsidTr="0018017C">
        <w:trPr>
          <w:trHeight w:val="490"/>
        </w:trPr>
        <w:tc>
          <w:tcPr>
            <w:tcW w:w="684" w:type="pct"/>
            <w:tcBorders>
              <w:top w:val="single" w:sz="8" w:space="0" w:color="000000"/>
              <w:left w:val="single" w:sz="8" w:space="0" w:color="000000"/>
              <w:bottom w:val="single" w:sz="8" w:space="0" w:color="000000"/>
              <w:right w:val="single" w:sz="8" w:space="0" w:color="000000"/>
            </w:tcBorders>
            <w:vAlign w:val="center"/>
          </w:tcPr>
          <w:p w14:paraId="5CA96493" w14:textId="446458D7" w:rsidR="00872050" w:rsidRPr="00457124" w:rsidRDefault="00872050" w:rsidP="00A90636">
            <w:pPr>
              <w:spacing w:after="0" w:line="276" w:lineRule="auto"/>
              <w:jc w:val="center"/>
              <w:rPr>
                <w:rFonts w:ascii="Arial" w:hAnsi="Arial" w:cs="Arial"/>
                <w:sz w:val="20"/>
                <w:szCs w:val="20"/>
              </w:rPr>
            </w:pPr>
            <w:r w:rsidRPr="00457124">
              <w:rPr>
                <w:rFonts w:ascii="Arial" w:hAnsi="Arial" w:cs="Arial"/>
                <w:sz w:val="20"/>
                <w:szCs w:val="20"/>
              </w:rPr>
              <w:t>2</w:t>
            </w:r>
          </w:p>
        </w:tc>
        <w:tc>
          <w:tcPr>
            <w:tcW w:w="875" w:type="pct"/>
            <w:tcBorders>
              <w:top w:val="single" w:sz="8" w:space="0" w:color="000000"/>
              <w:left w:val="single" w:sz="8" w:space="0" w:color="000000"/>
              <w:bottom w:val="single" w:sz="8" w:space="0" w:color="000000"/>
              <w:right w:val="single" w:sz="8" w:space="0" w:color="000000"/>
            </w:tcBorders>
            <w:vAlign w:val="center"/>
          </w:tcPr>
          <w:p w14:paraId="698435B0" w14:textId="087E3D3D" w:rsidR="00872050" w:rsidRPr="00457124" w:rsidRDefault="00872050" w:rsidP="00A90636">
            <w:pPr>
              <w:spacing w:after="0" w:line="276" w:lineRule="auto"/>
              <w:ind w:left="40"/>
              <w:jc w:val="center"/>
              <w:rPr>
                <w:rFonts w:ascii="Arial" w:hAnsi="Arial" w:cs="Arial"/>
                <w:sz w:val="20"/>
                <w:szCs w:val="20"/>
              </w:rPr>
            </w:pPr>
            <w:r w:rsidRPr="00457124">
              <w:rPr>
                <w:rFonts w:ascii="Arial" w:hAnsi="Arial" w:cs="Arial"/>
                <w:sz w:val="20"/>
                <w:szCs w:val="20"/>
              </w:rPr>
              <w:t>20221110</w:t>
            </w:r>
          </w:p>
        </w:tc>
        <w:tc>
          <w:tcPr>
            <w:tcW w:w="1513" w:type="pct"/>
            <w:tcBorders>
              <w:top w:val="single" w:sz="8" w:space="0" w:color="000000"/>
              <w:left w:val="single" w:sz="8" w:space="0" w:color="000000"/>
              <w:bottom w:val="single" w:sz="8" w:space="0" w:color="000000"/>
              <w:right w:val="single" w:sz="8" w:space="0" w:color="000000"/>
            </w:tcBorders>
            <w:vAlign w:val="center"/>
          </w:tcPr>
          <w:p w14:paraId="76ADCFF8" w14:textId="295EE41D" w:rsidR="00872050" w:rsidRPr="00457124" w:rsidRDefault="00872050" w:rsidP="00A90636">
            <w:pPr>
              <w:pStyle w:val="ListParagraph"/>
              <w:numPr>
                <w:ilvl w:val="0"/>
                <w:numId w:val="3"/>
              </w:numPr>
              <w:pBdr>
                <w:top w:val="nil"/>
                <w:left w:val="nil"/>
                <w:bottom w:val="nil"/>
                <w:right w:val="nil"/>
                <w:between w:val="nil"/>
              </w:pBdr>
              <w:spacing w:after="0" w:line="276" w:lineRule="auto"/>
              <w:ind w:left="256" w:hanging="270"/>
              <w:rPr>
                <w:rFonts w:ascii="Arial" w:hAnsi="Arial" w:cs="Arial"/>
                <w:sz w:val="20"/>
                <w:szCs w:val="20"/>
              </w:rPr>
            </w:pPr>
            <w:r w:rsidRPr="00457124">
              <w:rPr>
                <w:rFonts w:ascii="Arial" w:hAnsi="Arial" w:cs="Arial"/>
                <w:sz w:val="20"/>
                <w:szCs w:val="20"/>
              </w:rPr>
              <w:t>Alineado con el Programa</w:t>
            </w:r>
          </w:p>
          <w:p w14:paraId="100C9C6C" w14:textId="3FCC673D" w:rsidR="00872050" w:rsidRPr="00457124" w:rsidRDefault="00872050" w:rsidP="00A90636">
            <w:pPr>
              <w:pStyle w:val="ListParagraph"/>
              <w:numPr>
                <w:ilvl w:val="1"/>
                <w:numId w:val="3"/>
              </w:numPr>
              <w:pBdr>
                <w:top w:val="nil"/>
                <w:left w:val="nil"/>
                <w:bottom w:val="nil"/>
                <w:right w:val="nil"/>
                <w:between w:val="nil"/>
              </w:pBdr>
              <w:spacing w:after="0" w:line="276" w:lineRule="auto"/>
              <w:ind w:left="706" w:hanging="450"/>
              <w:rPr>
                <w:rFonts w:ascii="Arial" w:hAnsi="Arial" w:cs="Arial"/>
                <w:sz w:val="20"/>
                <w:szCs w:val="20"/>
              </w:rPr>
            </w:pPr>
            <w:r w:rsidRPr="00457124">
              <w:rPr>
                <w:rFonts w:ascii="Arial" w:hAnsi="Arial" w:cs="Arial"/>
                <w:sz w:val="20"/>
                <w:szCs w:val="20"/>
              </w:rPr>
              <w:t>Sección 2.3.2 actualizada</w:t>
            </w:r>
          </w:p>
        </w:tc>
        <w:tc>
          <w:tcPr>
            <w:tcW w:w="899" w:type="pct"/>
            <w:tcBorders>
              <w:top w:val="single" w:sz="8" w:space="0" w:color="000000"/>
              <w:left w:val="single" w:sz="8" w:space="0" w:color="000000"/>
              <w:bottom w:val="single" w:sz="8" w:space="0" w:color="000000"/>
              <w:right w:val="single" w:sz="8" w:space="0" w:color="000000"/>
            </w:tcBorders>
            <w:vAlign w:val="center"/>
          </w:tcPr>
          <w:p w14:paraId="4ED99BE6" w14:textId="0C16C64A" w:rsidR="00872050" w:rsidRPr="00457124" w:rsidRDefault="0018017C" w:rsidP="00A90636">
            <w:pPr>
              <w:spacing w:after="0" w:line="276" w:lineRule="auto"/>
              <w:ind w:left="38"/>
              <w:jc w:val="center"/>
              <w:rPr>
                <w:rFonts w:ascii="Arial" w:hAnsi="Arial" w:cs="Arial"/>
                <w:sz w:val="20"/>
                <w:szCs w:val="20"/>
              </w:rPr>
            </w:pPr>
            <w:r w:rsidRPr="00457124">
              <w:rPr>
                <w:rFonts w:ascii="Arial" w:hAnsi="Arial" w:cs="Arial"/>
                <w:sz w:val="20"/>
                <w:szCs w:val="20"/>
              </w:rPr>
              <w:t>A</w:t>
            </w:r>
            <w:r w:rsidR="00872050" w:rsidRPr="00457124">
              <w:rPr>
                <w:rFonts w:ascii="Arial" w:hAnsi="Arial" w:cs="Arial"/>
                <w:sz w:val="20"/>
                <w:szCs w:val="20"/>
              </w:rPr>
              <w:t xml:space="preserve">rnel </w:t>
            </w:r>
            <w:r w:rsidRPr="00457124">
              <w:rPr>
                <w:rFonts w:ascii="Arial" w:hAnsi="Arial" w:cs="Arial"/>
                <w:sz w:val="20"/>
                <w:szCs w:val="20"/>
              </w:rPr>
              <w:t>Ryan</w:t>
            </w:r>
          </w:p>
        </w:tc>
        <w:tc>
          <w:tcPr>
            <w:tcW w:w="1030" w:type="pct"/>
            <w:tcBorders>
              <w:top w:val="single" w:sz="8" w:space="0" w:color="000000"/>
              <w:left w:val="single" w:sz="8" w:space="0" w:color="000000"/>
              <w:bottom w:val="single" w:sz="8" w:space="0" w:color="000000"/>
              <w:right w:val="single" w:sz="8" w:space="0" w:color="000000"/>
            </w:tcBorders>
            <w:vAlign w:val="center"/>
          </w:tcPr>
          <w:p w14:paraId="0D3E9708" w14:textId="7CE2F88E" w:rsidR="00872050" w:rsidRPr="00457124" w:rsidRDefault="00872050" w:rsidP="00A90636">
            <w:pPr>
              <w:spacing w:after="0" w:line="276" w:lineRule="auto"/>
              <w:ind w:left="38"/>
              <w:jc w:val="center"/>
              <w:rPr>
                <w:rFonts w:ascii="Arial" w:hAnsi="Arial" w:cs="Arial"/>
                <w:sz w:val="20"/>
                <w:szCs w:val="20"/>
              </w:rPr>
            </w:pPr>
            <w:r w:rsidRPr="00457124">
              <w:rPr>
                <w:rFonts w:ascii="Arial" w:hAnsi="Arial" w:cs="Arial"/>
                <w:sz w:val="20"/>
                <w:szCs w:val="20"/>
              </w:rPr>
              <w:t>PCQI/Cumplimiento</w:t>
            </w:r>
          </w:p>
        </w:tc>
      </w:tr>
      <w:tr w:rsidR="00FF79A8" w:rsidRPr="00457124" w14:paraId="6A4D0782" w14:textId="77777777" w:rsidTr="0018017C">
        <w:trPr>
          <w:trHeight w:val="490"/>
        </w:trPr>
        <w:tc>
          <w:tcPr>
            <w:tcW w:w="684" w:type="pct"/>
            <w:tcBorders>
              <w:top w:val="single" w:sz="8" w:space="0" w:color="000000"/>
              <w:left w:val="single" w:sz="8" w:space="0" w:color="000000"/>
              <w:bottom w:val="single" w:sz="8" w:space="0" w:color="000000"/>
              <w:right w:val="single" w:sz="8" w:space="0" w:color="000000"/>
            </w:tcBorders>
            <w:vAlign w:val="center"/>
          </w:tcPr>
          <w:p w14:paraId="73AD98B9" w14:textId="2825EFA7" w:rsidR="00FF79A8" w:rsidRPr="00457124" w:rsidRDefault="00FF79A8" w:rsidP="00A90636">
            <w:pPr>
              <w:spacing w:after="0" w:line="276" w:lineRule="auto"/>
              <w:jc w:val="center"/>
              <w:rPr>
                <w:rFonts w:ascii="Arial" w:hAnsi="Arial" w:cs="Arial"/>
                <w:sz w:val="20"/>
                <w:szCs w:val="20"/>
              </w:rPr>
            </w:pPr>
            <w:r w:rsidRPr="00457124">
              <w:rPr>
                <w:rFonts w:ascii="Arial" w:hAnsi="Arial" w:cs="Arial"/>
                <w:sz w:val="20"/>
                <w:szCs w:val="20"/>
              </w:rPr>
              <w:t>3</w:t>
            </w:r>
          </w:p>
        </w:tc>
        <w:tc>
          <w:tcPr>
            <w:tcW w:w="875" w:type="pct"/>
            <w:tcBorders>
              <w:top w:val="single" w:sz="8" w:space="0" w:color="000000"/>
              <w:left w:val="single" w:sz="8" w:space="0" w:color="000000"/>
              <w:bottom w:val="single" w:sz="8" w:space="0" w:color="000000"/>
              <w:right w:val="single" w:sz="8" w:space="0" w:color="000000"/>
            </w:tcBorders>
            <w:vAlign w:val="center"/>
          </w:tcPr>
          <w:p w14:paraId="65C8EA70" w14:textId="634EBD10" w:rsidR="00FF79A8" w:rsidRPr="00457124" w:rsidRDefault="00FF79A8" w:rsidP="00A90636">
            <w:pPr>
              <w:spacing w:after="0" w:line="276" w:lineRule="auto"/>
              <w:ind w:left="40"/>
              <w:jc w:val="center"/>
              <w:rPr>
                <w:rFonts w:ascii="Arial" w:hAnsi="Arial" w:cs="Arial"/>
                <w:sz w:val="20"/>
                <w:szCs w:val="20"/>
              </w:rPr>
            </w:pPr>
            <w:r w:rsidRPr="00457124">
              <w:rPr>
                <w:rFonts w:ascii="Arial" w:hAnsi="Arial" w:cs="Arial"/>
                <w:sz w:val="20"/>
                <w:szCs w:val="20"/>
              </w:rPr>
              <w:t>20230316</w:t>
            </w:r>
          </w:p>
        </w:tc>
        <w:tc>
          <w:tcPr>
            <w:tcW w:w="1513" w:type="pct"/>
            <w:tcBorders>
              <w:top w:val="single" w:sz="8" w:space="0" w:color="000000"/>
              <w:left w:val="single" w:sz="8" w:space="0" w:color="000000"/>
              <w:bottom w:val="single" w:sz="8" w:space="0" w:color="000000"/>
              <w:right w:val="single" w:sz="8" w:space="0" w:color="000000"/>
            </w:tcBorders>
            <w:vAlign w:val="center"/>
          </w:tcPr>
          <w:p w14:paraId="3A34ECD4" w14:textId="77777777" w:rsidR="00FF79A8" w:rsidRPr="00457124" w:rsidRDefault="00FF79A8" w:rsidP="00A90636">
            <w:pPr>
              <w:pBdr>
                <w:top w:val="nil"/>
                <w:left w:val="nil"/>
                <w:bottom w:val="nil"/>
                <w:right w:val="nil"/>
                <w:between w:val="nil"/>
              </w:pBdr>
              <w:spacing w:after="0" w:line="276" w:lineRule="auto"/>
              <w:ind w:left="256" w:hanging="256"/>
              <w:rPr>
                <w:rFonts w:ascii="Arial" w:hAnsi="Arial" w:cs="Arial"/>
                <w:sz w:val="20"/>
                <w:szCs w:val="20"/>
              </w:rPr>
            </w:pPr>
            <w:r w:rsidRPr="00457124">
              <w:rPr>
                <w:rFonts w:ascii="Arial" w:hAnsi="Arial" w:cs="Arial"/>
                <w:sz w:val="20"/>
                <w:szCs w:val="20"/>
              </w:rPr>
              <w:t>1. Alineado con el Programa</w:t>
            </w:r>
          </w:p>
          <w:p w14:paraId="37D0142A" w14:textId="77777777" w:rsidR="00FF79A8" w:rsidRPr="00457124" w:rsidRDefault="00FF79A8" w:rsidP="00A90636">
            <w:pPr>
              <w:pBdr>
                <w:top w:val="nil"/>
                <w:left w:val="nil"/>
                <w:bottom w:val="nil"/>
                <w:right w:val="nil"/>
                <w:between w:val="nil"/>
              </w:pBdr>
              <w:spacing w:after="0" w:line="276" w:lineRule="auto"/>
              <w:ind w:left="256" w:hanging="256"/>
              <w:rPr>
                <w:rFonts w:ascii="Arial" w:hAnsi="Arial" w:cs="Arial"/>
                <w:sz w:val="20"/>
                <w:szCs w:val="20"/>
              </w:rPr>
            </w:pPr>
            <w:r w:rsidRPr="00457124">
              <w:rPr>
                <w:rFonts w:ascii="Arial" w:hAnsi="Arial" w:cs="Arial"/>
                <w:sz w:val="20"/>
                <w:szCs w:val="20"/>
              </w:rPr>
              <w:t>2. Se agregó una referencia a lo siguiente:</w:t>
            </w:r>
          </w:p>
          <w:p w14:paraId="72D86D97" w14:textId="0C8467B0"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2.1. sección 1.2</w:t>
            </w:r>
          </w:p>
          <w:p w14:paraId="73F12513" w14:textId="64C42074"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2.2. sección 2.1.2, 2.1.3, 2.1.4</w:t>
            </w:r>
          </w:p>
          <w:p w14:paraId="05284769" w14:textId="0DB0A63B"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2.3. sección 2.2.2.4</w:t>
            </w:r>
          </w:p>
          <w:p w14:paraId="75484435" w14:textId="293AE4EE"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2.4. sección 2.2.4.1</w:t>
            </w:r>
          </w:p>
          <w:p w14:paraId="706DA6E1" w14:textId="7F1F9A76"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2.5. sección 2.3.2</w:t>
            </w:r>
          </w:p>
          <w:p w14:paraId="39A7E8DE" w14:textId="40051041"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2.6. apartado 2.7.1.1.</w:t>
            </w:r>
          </w:p>
          <w:p w14:paraId="799D7279" w14:textId="4CEADD3D"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2.7. sección 2.8.</w:t>
            </w:r>
          </w:p>
          <w:p w14:paraId="67D6C6FE" w14:textId="4E99DF84" w:rsidR="00FF79A8" w:rsidRPr="00457124" w:rsidRDefault="00FF79A8" w:rsidP="00A90636">
            <w:pPr>
              <w:pBdr>
                <w:top w:val="nil"/>
                <w:left w:val="nil"/>
                <w:bottom w:val="nil"/>
                <w:right w:val="nil"/>
                <w:between w:val="nil"/>
              </w:pBdr>
              <w:spacing w:after="0" w:line="276" w:lineRule="auto"/>
              <w:ind w:left="526" w:hanging="256"/>
              <w:rPr>
                <w:rFonts w:ascii="Arial" w:hAnsi="Arial" w:cs="Arial"/>
                <w:sz w:val="20"/>
                <w:szCs w:val="20"/>
              </w:rPr>
            </w:pPr>
            <w:r w:rsidRPr="00457124">
              <w:rPr>
                <w:rFonts w:ascii="Arial" w:hAnsi="Arial" w:cs="Arial"/>
                <w:sz w:val="20"/>
                <w:szCs w:val="20"/>
              </w:rPr>
              <w:t>2.8. sección 2.9</w:t>
            </w:r>
          </w:p>
        </w:tc>
        <w:tc>
          <w:tcPr>
            <w:tcW w:w="899" w:type="pct"/>
            <w:tcBorders>
              <w:top w:val="single" w:sz="8" w:space="0" w:color="000000"/>
              <w:left w:val="single" w:sz="8" w:space="0" w:color="000000"/>
              <w:bottom w:val="single" w:sz="8" w:space="0" w:color="000000"/>
              <w:right w:val="single" w:sz="8" w:space="0" w:color="000000"/>
            </w:tcBorders>
            <w:vAlign w:val="center"/>
          </w:tcPr>
          <w:p w14:paraId="359CE53A" w14:textId="03EFB168" w:rsidR="00FF79A8" w:rsidRPr="00457124" w:rsidRDefault="0018017C" w:rsidP="00A90636">
            <w:pPr>
              <w:spacing w:after="0" w:line="276" w:lineRule="auto"/>
              <w:ind w:left="38"/>
              <w:jc w:val="center"/>
              <w:rPr>
                <w:rFonts w:ascii="Arial" w:hAnsi="Arial" w:cs="Arial"/>
                <w:sz w:val="20"/>
                <w:szCs w:val="20"/>
              </w:rPr>
            </w:pPr>
            <w:r w:rsidRPr="00457124">
              <w:rPr>
                <w:rFonts w:ascii="Arial" w:hAnsi="Arial" w:cs="Arial"/>
                <w:sz w:val="20"/>
                <w:szCs w:val="20"/>
              </w:rPr>
              <w:t>A</w:t>
            </w:r>
            <w:r w:rsidR="00FF79A8" w:rsidRPr="00457124">
              <w:rPr>
                <w:rFonts w:ascii="Arial" w:hAnsi="Arial" w:cs="Arial"/>
                <w:sz w:val="20"/>
                <w:szCs w:val="20"/>
              </w:rPr>
              <w:t xml:space="preserve">rnel </w:t>
            </w:r>
            <w:r w:rsidRPr="00457124">
              <w:rPr>
                <w:rFonts w:ascii="Arial" w:hAnsi="Arial" w:cs="Arial"/>
                <w:sz w:val="20"/>
                <w:szCs w:val="20"/>
              </w:rPr>
              <w:t>Ryan</w:t>
            </w:r>
          </w:p>
        </w:tc>
        <w:tc>
          <w:tcPr>
            <w:tcW w:w="1030" w:type="pct"/>
            <w:tcBorders>
              <w:top w:val="single" w:sz="8" w:space="0" w:color="000000"/>
              <w:left w:val="single" w:sz="8" w:space="0" w:color="000000"/>
              <w:bottom w:val="single" w:sz="8" w:space="0" w:color="000000"/>
              <w:right w:val="single" w:sz="8" w:space="0" w:color="000000"/>
            </w:tcBorders>
            <w:vAlign w:val="center"/>
          </w:tcPr>
          <w:p w14:paraId="5F12AB93" w14:textId="39D8E427" w:rsidR="00FF79A8" w:rsidRPr="00457124" w:rsidRDefault="00FF79A8" w:rsidP="00A90636">
            <w:pPr>
              <w:spacing w:after="0" w:line="276" w:lineRule="auto"/>
              <w:ind w:left="38"/>
              <w:jc w:val="center"/>
              <w:rPr>
                <w:rFonts w:ascii="Arial" w:hAnsi="Arial" w:cs="Arial"/>
                <w:sz w:val="20"/>
                <w:szCs w:val="20"/>
              </w:rPr>
            </w:pPr>
            <w:r w:rsidRPr="00457124">
              <w:rPr>
                <w:rFonts w:ascii="Arial" w:hAnsi="Arial" w:cs="Arial"/>
                <w:sz w:val="20"/>
                <w:szCs w:val="20"/>
              </w:rPr>
              <w:t>PCQI/Cumplimiento</w:t>
            </w:r>
          </w:p>
        </w:tc>
      </w:tr>
    </w:tbl>
    <w:p w14:paraId="794DB4E8" w14:textId="352228EF" w:rsidR="00542F3B" w:rsidRPr="00457124" w:rsidRDefault="00542F3B" w:rsidP="00A90636">
      <w:pPr>
        <w:spacing w:after="0" w:line="276" w:lineRule="auto"/>
        <w:jc w:val="both"/>
        <w:rPr>
          <w:rFonts w:ascii="Arial" w:hAnsi="Arial" w:cs="Arial"/>
          <w:sz w:val="20"/>
          <w:szCs w:val="20"/>
        </w:rPr>
      </w:pPr>
    </w:p>
    <w:p w14:paraId="3B53E0F7" w14:textId="2F3BCAF4" w:rsidR="00872050" w:rsidRPr="00457124" w:rsidRDefault="00872050" w:rsidP="00A90636">
      <w:pPr>
        <w:spacing w:after="0" w:line="276" w:lineRule="auto"/>
        <w:jc w:val="both"/>
        <w:rPr>
          <w:rFonts w:ascii="Arial" w:hAnsi="Arial" w:cs="Arial"/>
          <w:b/>
          <w:bCs/>
          <w:sz w:val="16"/>
          <w:szCs w:val="16"/>
        </w:rPr>
      </w:pPr>
      <w:r w:rsidRPr="00457124">
        <w:rPr>
          <w:rFonts w:ascii="Arial" w:hAnsi="Arial" w:cs="Arial"/>
          <w:b/>
          <w:bCs/>
          <w:sz w:val="16"/>
          <w:szCs w:val="16"/>
        </w:rPr>
        <w:t>Requisitos:</w:t>
      </w:r>
    </w:p>
    <w:p w14:paraId="13CB7339" w14:textId="7F10004F" w:rsidR="00872050" w:rsidRPr="00457124" w:rsidRDefault="00872050" w:rsidP="00A90636">
      <w:pPr>
        <w:pStyle w:val="ListParagraph"/>
        <w:numPr>
          <w:ilvl w:val="0"/>
          <w:numId w:val="4"/>
        </w:numPr>
        <w:spacing w:after="0" w:line="276" w:lineRule="auto"/>
        <w:jc w:val="both"/>
        <w:rPr>
          <w:rFonts w:ascii="Arial" w:hAnsi="Arial" w:cs="Arial"/>
          <w:sz w:val="16"/>
          <w:szCs w:val="16"/>
        </w:rPr>
      </w:pPr>
      <w:r w:rsidRPr="00457124">
        <w:rPr>
          <w:rFonts w:ascii="Arial" w:hAnsi="Arial" w:cs="Arial"/>
          <w:sz w:val="16"/>
          <w:szCs w:val="16"/>
        </w:rPr>
        <w:t>El aprendiz (empleado/visitante) ha leído o recibido una traducción verbal de la totalidad o parte de la política, procedimiento, método y/o POE para los cuales está siendo capacitado.</w:t>
      </w:r>
    </w:p>
    <w:p w14:paraId="013EBFEF" w14:textId="77777777" w:rsidR="00872050" w:rsidRPr="00457124" w:rsidRDefault="00872050" w:rsidP="00A90636">
      <w:pPr>
        <w:pStyle w:val="ListParagraph"/>
        <w:numPr>
          <w:ilvl w:val="0"/>
          <w:numId w:val="4"/>
        </w:numPr>
        <w:spacing w:after="0" w:line="276" w:lineRule="auto"/>
        <w:jc w:val="both"/>
        <w:rPr>
          <w:rFonts w:ascii="Arial" w:hAnsi="Arial" w:cs="Arial"/>
          <w:sz w:val="16"/>
          <w:szCs w:val="16"/>
        </w:rPr>
      </w:pPr>
      <w:r w:rsidRPr="00457124">
        <w:rPr>
          <w:rFonts w:ascii="Arial" w:hAnsi="Arial" w:cs="Arial"/>
          <w:sz w:val="16"/>
          <w:szCs w:val="16"/>
        </w:rPr>
        <w:t>El alumno ha observado una demostración de la tarea que debe realizar o el procedimiento para el que está siendo capacitado según se requiera.</w:t>
      </w:r>
    </w:p>
    <w:p w14:paraId="733EB155" w14:textId="0DCCB4BF" w:rsidR="00872050" w:rsidRPr="00457124" w:rsidRDefault="00872050" w:rsidP="00A90636">
      <w:pPr>
        <w:pStyle w:val="ListParagraph"/>
        <w:numPr>
          <w:ilvl w:val="0"/>
          <w:numId w:val="4"/>
        </w:numPr>
        <w:spacing w:after="0" w:line="276" w:lineRule="auto"/>
        <w:jc w:val="both"/>
        <w:rPr>
          <w:rFonts w:ascii="Arial" w:hAnsi="Arial" w:cs="Arial"/>
          <w:sz w:val="16"/>
          <w:szCs w:val="16"/>
        </w:rPr>
      </w:pPr>
      <w:r w:rsidRPr="00457124">
        <w:rPr>
          <w:rFonts w:ascii="Arial" w:hAnsi="Arial" w:cs="Arial"/>
          <w:sz w:val="16"/>
          <w:szCs w:val="16"/>
        </w:rPr>
        <w:t>El alumno ha demostrado la capacidad de realizar la tarea con competencia aceptable y supervisión mínima.</w:t>
      </w:r>
    </w:p>
    <w:p w14:paraId="2621A203" w14:textId="215C43D7" w:rsidR="00872050" w:rsidRPr="00872050" w:rsidRDefault="00872050" w:rsidP="00A90636">
      <w:pPr>
        <w:spacing w:after="0" w:line="276" w:lineRule="auto"/>
        <w:jc w:val="both"/>
        <w:rPr>
          <w:rFonts w:ascii="Arial" w:hAnsi="Arial" w:cs="Arial"/>
          <w:sz w:val="20"/>
          <w:szCs w:val="20"/>
        </w:rPr>
      </w:pPr>
    </w:p>
    <w:sectPr w:rsidR="00872050" w:rsidRPr="00872050" w:rsidSect="000F17A4">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BC871" w14:textId="77777777" w:rsidR="00FF62CE" w:rsidRDefault="00FF62CE" w:rsidP="000F17A4">
      <w:pPr>
        <w:spacing w:after="0" w:line="240" w:lineRule="auto"/>
      </w:pPr>
      <w:r>
        <w:separator/>
      </w:r>
    </w:p>
  </w:endnote>
  <w:endnote w:type="continuationSeparator" w:id="0">
    <w:p w14:paraId="0998005D" w14:textId="77777777" w:rsidR="00FF62CE" w:rsidRDefault="00FF62CE" w:rsidP="000F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4770"/>
      <w:gridCol w:w="2605"/>
    </w:tblGrid>
    <w:tr w:rsidR="000F17A4" w:rsidRPr="000F17A4" w14:paraId="339218E4" w14:textId="77777777" w:rsidTr="000F17A4">
      <w:tc>
        <w:tcPr>
          <w:tcW w:w="2695" w:type="dxa"/>
        </w:tcPr>
        <w:p w14:paraId="7A48BEC7" w14:textId="743E6942" w:rsidR="000F17A4" w:rsidRPr="000F17A4" w:rsidRDefault="000F17A4" w:rsidP="000F17A4">
          <w:pPr>
            <w:rPr>
              <w:rFonts w:ascii="Arial" w:hAnsi="Arial" w:cs="Arial"/>
              <w:sz w:val="18"/>
              <w:szCs w:val="18"/>
            </w:rPr>
          </w:pPr>
          <w:r w:rsidRPr="000F17A4">
            <w:rPr>
              <w:rFonts w:ascii="Arial" w:hAnsi="Arial" w:cs="Arial"/>
              <w:sz w:val="18"/>
              <w:szCs w:val="18"/>
            </w:rPr>
            <w:t>20230316.R3</w:t>
          </w:r>
        </w:p>
      </w:tc>
      <w:tc>
        <w:tcPr>
          <w:tcW w:w="4770" w:type="dxa"/>
        </w:tcPr>
        <w:p w14:paraId="1FBBCF0C" w14:textId="77777777" w:rsidR="000F17A4" w:rsidRPr="000F17A4" w:rsidRDefault="000F17A4" w:rsidP="000F17A4">
          <w:pPr>
            <w:jc w:val="center"/>
            <w:rPr>
              <w:rFonts w:ascii="Arial" w:hAnsi="Arial" w:cs="Arial"/>
              <w:b/>
              <w:bCs/>
              <w:sz w:val="18"/>
              <w:szCs w:val="18"/>
            </w:rPr>
          </w:pPr>
          <w:r w:rsidRPr="000F17A4">
            <w:rPr>
              <w:rFonts w:ascii="Arial" w:hAnsi="Arial" w:cs="Arial"/>
              <w:b/>
              <w:bCs/>
              <w:sz w:val="18"/>
              <w:szCs w:val="18"/>
            </w:rPr>
            <w:t>KAV América AG, Inc.</w:t>
          </w:r>
        </w:p>
        <w:p w14:paraId="53CBC9CF" w14:textId="25D95183" w:rsidR="000F17A4" w:rsidRPr="000F17A4" w:rsidRDefault="000F17A4" w:rsidP="000F17A4">
          <w:pPr>
            <w:jc w:val="center"/>
            <w:rPr>
              <w:rFonts w:ascii="Arial" w:hAnsi="Arial" w:cs="Arial"/>
              <w:sz w:val="18"/>
              <w:szCs w:val="18"/>
            </w:rPr>
          </w:pPr>
          <w:r w:rsidRPr="000F17A4">
            <w:rPr>
              <w:rFonts w:ascii="Arial" w:hAnsi="Arial" w:cs="Arial"/>
              <w:sz w:val="18"/>
              <w:szCs w:val="18"/>
            </w:rPr>
            <w:t xml:space="preserve">422 E. Comercial </w:t>
          </w:r>
          <w:proofErr w:type="spellStart"/>
          <w:r w:rsidRPr="000F17A4">
            <w:rPr>
              <w:rFonts w:ascii="Arial" w:hAnsi="Arial" w:cs="Arial"/>
              <w:sz w:val="18"/>
              <w:szCs w:val="18"/>
            </w:rPr>
            <w:t>Rd</w:t>
          </w:r>
          <w:proofErr w:type="spellEnd"/>
          <w:r w:rsidRPr="000F17A4">
            <w:rPr>
              <w:rFonts w:ascii="Arial" w:hAnsi="Arial" w:cs="Arial"/>
              <w:sz w:val="18"/>
              <w:szCs w:val="18"/>
            </w:rPr>
            <w:t>. San Bernardino, CA 92408</w:t>
          </w:r>
        </w:p>
      </w:tc>
      <w:tc>
        <w:tcPr>
          <w:tcW w:w="2605" w:type="dxa"/>
        </w:tcPr>
        <w:p w14:paraId="4C09EB3B" w14:textId="0FB11D77" w:rsidR="000F17A4" w:rsidRPr="000F17A4" w:rsidRDefault="000F17A4" w:rsidP="000F17A4">
          <w:pPr>
            <w:jc w:val="right"/>
            <w:rPr>
              <w:rFonts w:ascii="Arial" w:hAnsi="Arial" w:cs="Arial"/>
              <w:sz w:val="18"/>
              <w:szCs w:val="18"/>
            </w:rPr>
          </w:pPr>
          <w:r w:rsidRPr="000F17A4">
            <w:rPr>
              <w:rFonts w:ascii="Arial" w:hAnsi="Arial" w:cs="Arial"/>
              <w:sz w:val="18"/>
              <w:szCs w:val="18"/>
            </w:rPr>
            <w:t>KAV-QMS-2.1.1.P0.L0</w:t>
          </w:r>
          <w:r w:rsidR="00747F23">
            <w:rPr>
              <w:rFonts w:ascii="Arial" w:hAnsi="Arial" w:cs="Arial"/>
              <w:sz w:val="18"/>
              <w:szCs w:val="18"/>
            </w:rPr>
            <w:t>.ES</w:t>
          </w:r>
        </w:p>
      </w:tc>
    </w:tr>
  </w:tbl>
  <w:p w14:paraId="7B356891" w14:textId="77777777" w:rsidR="000F17A4" w:rsidRDefault="000F1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3C359" w14:textId="77777777" w:rsidR="00FF62CE" w:rsidRDefault="00FF62CE" w:rsidP="000F17A4">
      <w:pPr>
        <w:spacing w:after="0" w:line="240" w:lineRule="auto"/>
      </w:pPr>
      <w:r>
        <w:separator/>
      </w:r>
    </w:p>
  </w:footnote>
  <w:footnote w:type="continuationSeparator" w:id="0">
    <w:p w14:paraId="6E41020C" w14:textId="77777777" w:rsidR="00FF62CE" w:rsidRDefault="00FF62CE" w:rsidP="000F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9FB4B" w14:textId="71AB1CD2" w:rsidR="000F17A4" w:rsidRDefault="000F17A4">
    <w:pPr>
      <w:pStyle w:val="Header"/>
    </w:pPr>
    <w:r>
      <w:rPr>
        <w:noProof/>
      </w:rPr>
      <w:drawing>
        <wp:anchor distT="0" distB="0" distL="114300" distR="114300" simplePos="0" relativeHeight="251659264" behindDoc="1" locked="0" layoutInCell="1" allowOverlap="1" wp14:anchorId="05B88267" wp14:editId="5D9F42DB">
          <wp:simplePos x="0" y="0"/>
          <wp:positionH relativeFrom="margin">
            <wp:posOffset>2561590</wp:posOffset>
          </wp:positionH>
          <wp:positionV relativeFrom="paragraph">
            <wp:posOffset>75565</wp:posOffset>
          </wp:positionV>
          <wp:extent cx="1276985" cy="573405"/>
          <wp:effectExtent l="0" t="0" r="0" b="0"/>
          <wp:wrapNone/>
          <wp:docPr id="3"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jpg" descr="A picture containing text, clipart&#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B4CD6"/>
    <w:multiLevelType w:val="hybridMultilevel"/>
    <w:tmpl w:val="D1202E1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359A0"/>
    <w:multiLevelType w:val="hybridMultilevel"/>
    <w:tmpl w:val="88BAB010"/>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1DDD6936"/>
    <w:multiLevelType w:val="multilevel"/>
    <w:tmpl w:val="1B5263D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32AD5624"/>
    <w:multiLevelType w:val="multilevel"/>
    <w:tmpl w:val="36188E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A825FF0"/>
    <w:multiLevelType w:val="hybridMultilevel"/>
    <w:tmpl w:val="99AE4A0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51C65272"/>
    <w:multiLevelType w:val="multilevel"/>
    <w:tmpl w:val="A854518E"/>
    <w:lvl w:ilvl="0">
      <w:start w:val="1"/>
      <w:numFmt w:val="decimal"/>
      <w:lvlText w:val="%1."/>
      <w:lvlJc w:val="left"/>
      <w:pPr>
        <w:ind w:left="480" w:hanging="361"/>
      </w:pPr>
      <w:rPr>
        <w:rFonts w:ascii="Arial MT" w:eastAsia="Arial MT" w:hAnsi="Arial MT" w:cs="Arial MT" w:hint="default"/>
        <w:spacing w:val="-1"/>
        <w:w w:val="99"/>
        <w:sz w:val="20"/>
        <w:szCs w:val="20"/>
        <w:lang w:val="en-US" w:eastAsia="en-US" w:bidi="ar-SA"/>
      </w:rPr>
    </w:lvl>
    <w:lvl w:ilvl="1">
      <w:start w:val="1"/>
      <w:numFmt w:val="decimal"/>
      <w:lvlText w:val="%1.%2."/>
      <w:lvlJc w:val="left"/>
      <w:pPr>
        <w:ind w:left="1020" w:hanging="540"/>
      </w:pPr>
      <w:rPr>
        <w:rFonts w:ascii="Arial" w:eastAsia="Arial MT" w:hAnsi="Arial" w:cs="Arial" w:hint="default"/>
        <w:spacing w:val="-1"/>
        <w:w w:val="99"/>
        <w:sz w:val="20"/>
        <w:szCs w:val="20"/>
        <w:lang w:val="en-US" w:eastAsia="en-US" w:bidi="ar-SA"/>
      </w:rPr>
    </w:lvl>
    <w:lvl w:ilvl="2">
      <w:start w:val="1"/>
      <w:numFmt w:val="decimal"/>
      <w:lvlText w:val="%1.%2.%3."/>
      <w:lvlJc w:val="left"/>
      <w:pPr>
        <w:ind w:left="1740" w:hanging="720"/>
      </w:pPr>
      <w:rPr>
        <w:rFonts w:ascii="Arial" w:hAnsi="Arial" w:cs="Arial" w:hint="default"/>
        <w:i w:val="0"/>
        <w:iCs/>
        <w:w w:val="99"/>
        <w:lang w:val="en-US" w:eastAsia="en-US" w:bidi="ar-SA"/>
      </w:rPr>
    </w:lvl>
    <w:lvl w:ilvl="3">
      <w:start w:val="1"/>
      <w:numFmt w:val="decimal"/>
      <w:lvlText w:val="%1.%2.%3.%4."/>
      <w:lvlJc w:val="left"/>
      <w:pPr>
        <w:ind w:left="2640" w:hanging="720"/>
      </w:pPr>
      <w:rPr>
        <w:rFonts w:ascii="Arial MT" w:eastAsia="Arial MT" w:hAnsi="Arial MT" w:cs="Arial MT" w:hint="default"/>
        <w:i w:val="0"/>
        <w:iCs/>
        <w:spacing w:val="-1"/>
        <w:w w:val="99"/>
        <w:sz w:val="20"/>
        <w:szCs w:val="20"/>
        <w:lang w:val="en-US" w:eastAsia="en-US" w:bidi="ar-SA"/>
      </w:rPr>
    </w:lvl>
    <w:lvl w:ilvl="4">
      <w:start w:val="1"/>
      <w:numFmt w:val="decimal"/>
      <w:lvlText w:val="%1.%2.%3.%4.%5."/>
      <w:lvlJc w:val="left"/>
      <w:pPr>
        <w:ind w:left="3433" w:hanging="720"/>
      </w:pPr>
      <w:rPr>
        <w:rFonts w:hint="default"/>
        <w:spacing w:val="-1"/>
        <w:w w:val="99"/>
        <w:lang w:val="en-US" w:eastAsia="en-US" w:bidi="ar-SA"/>
      </w:rPr>
    </w:lvl>
    <w:lvl w:ilvl="5">
      <w:numFmt w:val="bullet"/>
      <w:lvlText w:val="•"/>
      <w:lvlJc w:val="left"/>
      <w:pPr>
        <w:ind w:left="2640" w:hanging="720"/>
      </w:pPr>
      <w:rPr>
        <w:rFonts w:hint="default"/>
        <w:lang w:val="en-US" w:eastAsia="en-US" w:bidi="ar-SA"/>
      </w:rPr>
    </w:lvl>
    <w:lvl w:ilvl="6">
      <w:numFmt w:val="bullet"/>
      <w:lvlText w:val="•"/>
      <w:lvlJc w:val="left"/>
      <w:pPr>
        <w:ind w:left="3440" w:hanging="720"/>
      </w:pPr>
      <w:rPr>
        <w:rFonts w:hint="default"/>
        <w:lang w:val="en-US" w:eastAsia="en-US" w:bidi="ar-SA"/>
      </w:rPr>
    </w:lvl>
    <w:lvl w:ilvl="7">
      <w:numFmt w:val="bullet"/>
      <w:lvlText w:val="•"/>
      <w:lvlJc w:val="left"/>
      <w:pPr>
        <w:ind w:left="3720" w:hanging="720"/>
      </w:pPr>
      <w:rPr>
        <w:rFonts w:hint="default"/>
        <w:lang w:val="en-US" w:eastAsia="en-US" w:bidi="ar-SA"/>
      </w:rPr>
    </w:lvl>
    <w:lvl w:ilvl="8">
      <w:numFmt w:val="bullet"/>
      <w:lvlText w:val="•"/>
      <w:lvlJc w:val="left"/>
      <w:pPr>
        <w:ind w:left="5920" w:hanging="720"/>
      </w:pPr>
      <w:rPr>
        <w:rFonts w:hint="default"/>
        <w:lang w:val="en-US" w:eastAsia="en-US" w:bidi="ar-SA"/>
      </w:rPr>
    </w:lvl>
  </w:abstractNum>
  <w:abstractNum w:abstractNumId="9" w15:restartNumberingAfterBreak="0">
    <w:nsid w:val="570D59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A63E2A"/>
    <w:multiLevelType w:val="hybridMultilevel"/>
    <w:tmpl w:val="A8E85F62"/>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49122AA"/>
    <w:multiLevelType w:val="hybridMultilevel"/>
    <w:tmpl w:val="1D70A4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02283C"/>
    <w:multiLevelType w:val="hybridMultilevel"/>
    <w:tmpl w:val="4A4CB89A"/>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0A289F"/>
    <w:multiLevelType w:val="hybridMultilevel"/>
    <w:tmpl w:val="98268CA0"/>
    <w:lvl w:ilvl="0" w:tplc="A832081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262644292">
    <w:abstractNumId w:val="9"/>
  </w:num>
  <w:num w:numId="2" w16cid:durableId="16396075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9319681">
    <w:abstractNumId w:val="5"/>
  </w:num>
  <w:num w:numId="4" w16cid:durableId="1514953480">
    <w:abstractNumId w:val="13"/>
  </w:num>
  <w:num w:numId="5" w16cid:durableId="1455831120">
    <w:abstractNumId w:val="4"/>
  </w:num>
  <w:num w:numId="6" w16cid:durableId="591279855">
    <w:abstractNumId w:val="2"/>
  </w:num>
  <w:num w:numId="7" w16cid:durableId="1938050514">
    <w:abstractNumId w:val="3"/>
  </w:num>
  <w:num w:numId="8" w16cid:durableId="208802585">
    <w:abstractNumId w:val="8"/>
  </w:num>
  <w:num w:numId="9" w16cid:durableId="142745948">
    <w:abstractNumId w:val="7"/>
  </w:num>
  <w:num w:numId="10" w16cid:durableId="1461149164">
    <w:abstractNumId w:val="11"/>
  </w:num>
  <w:num w:numId="11" w16cid:durableId="565840257">
    <w:abstractNumId w:val="10"/>
  </w:num>
  <w:num w:numId="12" w16cid:durableId="402028321">
    <w:abstractNumId w:val="0"/>
  </w:num>
  <w:num w:numId="13" w16cid:durableId="144855527">
    <w:abstractNumId w:val="1"/>
  </w:num>
  <w:num w:numId="14" w16cid:durableId="340549389">
    <w:abstractNumId w:val="6"/>
  </w:num>
  <w:num w:numId="15" w16cid:durableId="13603512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A4"/>
    <w:rsid w:val="000179C1"/>
    <w:rsid w:val="000B1D49"/>
    <w:rsid w:val="000B3F11"/>
    <w:rsid w:val="000F17A4"/>
    <w:rsid w:val="001368E9"/>
    <w:rsid w:val="0018017C"/>
    <w:rsid w:val="002559C7"/>
    <w:rsid w:val="002C6177"/>
    <w:rsid w:val="00321665"/>
    <w:rsid w:val="003926FF"/>
    <w:rsid w:val="003F3EAA"/>
    <w:rsid w:val="00457124"/>
    <w:rsid w:val="0047360A"/>
    <w:rsid w:val="00542F3B"/>
    <w:rsid w:val="005B6DD4"/>
    <w:rsid w:val="005C374C"/>
    <w:rsid w:val="00615E35"/>
    <w:rsid w:val="00633DF6"/>
    <w:rsid w:val="006857F2"/>
    <w:rsid w:val="006D7E4B"/>
    <w:rsid w:val="00701A6F"/>
    <w:rsid w:val="007042AD"/>
    <w:rsid w:val="0070484E"/>
    <w:rsid w:val="00747F23"/>
    <w:rsid w:val="00803EE9"/>
    <w:rsid w:val="00872050"/>
    <w:rsid w:val="00874687"/>
    <w:rsid w:val="00997321"/>
    <w:rsid w:val="009A6C20"/>
    <w:rsid w:val="00A32EFE"/>
    <w:rsid w:val="00A90636"/>
    <w:rsid w:val="00AC3DEC"/>
    <w:rsid w:val="00C617CF"/>
    <w:rsid w:val="00DD6753"/>
    <w:rsid w:val="00DE4A7E"/>
    <w:rsid w:val="00F830C1"/>
    <w:rsid w:val="00FF62CE"/>
    <w:rsid w:val="00FF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38193"/>
  <w15:chartTrackingRefBased/>
  <w15:docId w15:val="{FE6DFBB6-28DC-4691-9118-B84FD769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0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872050"/>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1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7A4"/>
  </w:style>
  <w:style w:type="paragraph" w:styleId="Footer">
    <w:name w:val="footer"/>
    <w:basedOn w:val="Normal"/>
    <w:link w:val="FooterChar"/>
    <w:uiPriority w:val="99"/>
    <w:unhideWhenUsed/>
    <w:rsid w:val="000F1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7A4"/>
  </w:style>
  <w:style w:type="table" w:styleId="TableGrid">
    <w:name w:val="Table Grid"/>
    <w:basedOn w:val="TableNormal"/>
    <w:uiPriority w:val="39"/>
    <w:rsid w:val="000F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6D7E4B"/>
    <w:pPr>
      <w:ind w:left="720"/>
      <w:contextualSpacing/>
    </w:pPr>
  </w:style>
  <w:style w:type="character" w:customStyle="1" w:styleId="Heading2Char">
    <w:name w:val="Heading 2 Char"/>
    <w:basedOn w:val="DefaultParagraphFont"/>
    <w:link w:val="Heading2"/>
    <w:uiPriority w:val="9"/>
    <w:rsid w:val="00872050"/>
    <w:rPr>
      <w:rFonts w:ascii="Arial" w:eastAsia="Arial" w:hAnsi="Arial" w:cs="Arial"/>
      <w:b/>
      <w:color w:val="000000"/>
      <w:sz w:val="18"/>
      <w:szCs w:val="20"/>
    </w:rPr>
  </w:style>
  <w:style w:type="character" w:styleId="Hyperlink">
    <w:name w:val="Hyperlink"/>
    <w:basedOn w:val="DefaultParagraphFont"/>
    <w:uiPriority w:val="99"/>
    <w:unhideWhenUsed/>
    <w:rsid w:val="00872050"/>
    <w:rPr>
      <w:color w:val="0563C1" w:themeColor="hyperlink"/>
      <w:u w:val="single"/>
    </w:rPr>
  </w:style>
  <w:style w:type="character" w:styleId="UnresolvedMention">
    <w:name w:val="Unresolved Mention"/>
    <w:basedOn w:val="DefaultParagraphFont"/>
    <w:uiPriority w:val="99"/>
    <w:semiHidden/>
    <w:unhideWhenUsed/>
    <w:rsid w:val="00872050"/>
    <w:rPr>
      <w:color w:val="605E5C"/>
      <w:shd w:val="clear" w:color="auto" w:fill="E1DFDD"/>
    </w:rPr>
  </w:style>
  <w:style w:type="character" w:customStyle="1" w:styleId="Heading1Char">
    <w:name w:val="Heading 1 Char"/>
    <w:basedOn w:val="DefaultParagraphFont"/>
    <w:link w:val="Heading1"/>
    <w:uiPriority w:val="9"/>
    <w:rsid w:val="008720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61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12</cp:revision>
  <dcterms:created xsi:type="dcterms:W3CDTF">2023-03-16T19:44:00Z</dcterms:created>
  <dcterms:modified xsi:type="dcterms:W3CDTF">2023-03-29T21:20:00Z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8b1181c8c118f32a0486d369633673f835b69f44390acb5a86e016b3d2d4982d</vt:lpwstr>
  </property>
</Properties>
</file>