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3、公司聘请的报告期内履行持续督导职责的财务顾问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口 适用 ”v 不 适用</w:t>
            </w:r>
          </w:p>
        </w:tc>
      </w:tr>
      <w:tr>
        <w:tc>
          <w:tcPr>
            <w:tcW w:type="dxa" w:w="8640"/>
          </w:tcPr>
          <w:p>
            <w:r>
              <w:t>二 、 主 要 财务 指标</w:t>
            </w:r>
          </w:p>
        </w:tc>
      </w:tr>
      <w:tr>
        <w:tc>
          <w:tcPr>
            <w:tcW w:type="dxa" w:w="8640"/>
          </w:tcPr>
          <w:p>
            <w:r>
              <w:t>(一 ) 主要 会 计数 据 和 财务 指标</w:t>
            </w:r>
          </w:p>
        </w:tc>
      </w:tr>
      <w:tr>
        <w:tc>
          <w:tcPr>
            <w:tcW w:type="dxa" w:w="8640"/>
          </w:tcPr>
          <w:p>
            <w:r>
              <w:t>公司 是 否 因 会 计 政策 变更 及 会 计 差 错 更 正 等 追溯 调整 或 重 述 以 前 年 度 会 计数 据</w:t>
            </w:r>
          </w:p>
        </w:tc>
      </w:tr>
      <w:tr>
        <w:tc>
          <w:tcPr>
            <w:tcW w:type="dxa" w:w="8640"/>
          </w:tcPr>
          <w:p>
            <w:r>
              <w:t>口 是 V 否</w:t>
            </w:r>
          </w:p>
        </w:tc>
      </w:tr>
      <w:tr>
        <w:tc>
          <w:tcPr>
            <w:tcW w:type="dxa" w:w="8640"/>
          </w:tcPr>
          <w:p>
            <w:r>
              <w:t>《货币 单位 :人民币 百 万 元 )</w:t>
            </w:r>
          </w:p>
        </w:tc>
      </w:tr>
      <w:tr>
        <w:tc>
          <w:tcPr>
            <w:tcW w:type="dxa" w:w="8640"/>
          </w:tcPr>
          <w:p>
            <w:r>
              <w:t>项 目 2016 年 2015 年 2014 年 EE</w:t>
            </w:r>
          </w:p>
        </w:tc>
      </w:tr>
      <w:tr>
        <w:tc>
          <w:tcPr>
            <w:tcW w:type="dxa" w:w="8640"/>
          </w:tcPr>
          <w:p>
            <w:r>
              <w:t>增 减</w:t>
            </w:r>
          </w:p>
        </w:tc>
      </w:tr>
      <w:tr>
        <w:tc>
          <w:tcPr>
            <w:tcW w:type="dxa" w:w="8640"/>
          </w:tcPr>
          <w:p>
            <w:r>
              <w:t>营业 收入 107.715 96.163 下 12.01%</w:t>
            </w:r>
          </w:p>
        </w:tc>
      </w:tr>
      <w:tr>
        <w:tc>
          <w:tcPr>
            <w:tcW w:type="dxa" w:w="8640"/>
          </w:tcPr>
          <w:p>
            <w:r>
              <w:t>资产 减 值 损失 前 营业 利润 76.297 59.380 41.257 28.49%</w:t>
            </w:r>
          </w:p>
        </w:tc>
      </w:tr>
      <w:tr>
        <w:tc>
          <w:tcPr>
            <w:tcW w:type="dxa" w:w="8640"/>
          </w:tcPr>
          <w:p>
            <w:r>
              <w:t>资产 减 值 损失 46.518 30.485 15.011 52.59%6</w:t>
            </w:r>
          </w:p>
        </w:tc>
      </w:tr>
      <w:tr>
        <w:tc>
          <w:tcPr>
            <w:tcW w:type="dxa" w:w="8640"/>
          </w:tcPr>
          <w:p>
            <w:r>
              <w:t>营业 利润 29,779 28.895 26.246 3.06%</w:t>
            </w:r>
          </w:p>
        </w:tc>
      </w:tr>
      <w:tr>
        <w:tc>
          <w:tcPr>
            <w:tcW w:type="dxa" w:w="8640"/>
          </w:tcPr>
          <w:p>
            <w:r>
              <w:t>利润 总 额 29.935 28.846 26.194 3.78%</w:t>
            </w:r>
          </w:p>
        </w:tc>
      </w:tr>
      <w:tr>
        <w:tc>
          <w:tcPr>
            <w:tcW w:type="dxa" w:w="8640"/>
          </w:tcPr>
          <w:p>
            <w:r>
              <w:t>净利 泣 22,599 21.865 19.802 3.36%</w:t>
            </w:r>
          </w:p>
        </w:tc>
      </w:tr>
      <w:tr>
        <w:tc>
          <w:tcPr>
            <w:tcW w:type="dxa" w:w="8640"/>
          </w:tcPr>
          <w:p>
            <w:r>
              <w:t>扣除 非 经 常 性 损益 后 的 净利 润 22.606 21.902 19.841 3.21%</w:t>
            </w:r>
          </w:p>
        </w:tc>
      </w:tr>
      <w:tr>
        <w:tc>
          <w:tcPr>
            <w:tcW w:type="dxa" w:w="8640"/>
          </w:tcPr>
          <w:p>
            <w:r>
              <w:t>每 股 收益 指标 :</w:t>
            </w:r>
          </w:p>
        </w:tc>
      </w:tr>
      <w:tr>
        <w:tc>
          <w:tcPr>
            <w:tcW w:type="dxa" w:w="8640"/>
          </w:tcPr>
          <w:p>
            <w:r>
              <w:t>基本 每 股 收益 〈 元 ) | 1 | 130 ， 120 1.549%6</w:t>
            </w:r>
          </w:p>
        </w:tc>
      </w:tr>
      <w:tr>
        <w:tc>
          <w:tcPr>
            <w:tcW w:type="dxa" w:w="8640"/>
          </w:tcPr>
          <w:p>
            <w:r>
              <w:t>EL | 1.32 | 130 | 1.20 | 1.54%6</w:t>
            </w:r>
          </w:p>
        </w:tc>
      </w:tr>
      <w:tr>
        <w:tc>
          <w:tcPr>
            <w:tcW w:type="dxa" w:w="8640"/>
          </w:tcPr>
          <w:p>
            <w:r>
              <w:t>扣除 非 经 常 性 损益 后 的 基本 每 股 收益 〈 元 ) 1.32 130 二 1.549%6</w:t>
            </w:r>
          </w:p>
        </w:tc>
      </w:tr>
      <w:tr>
        <w:tc>
          <w:tcPr>
            <w:tcW w:type="dxa" w:w="8640"/>
          </w:tcPr>
          <w:p>
            <w:r>
              <w:t>现金 流 情况 :</w:t>
            </w:r>
          </w:p>
        </w:tc>
      </w:tr>
      <w:tr>
        <w:tc>
          <w:tcPr>
            <w:tcW w:type="dxa" w:w="8640"/>
          </w:tcPr>
          <w:p>
            <w:r>
              <w:t>经 营 活动 产生 的 现金 流量 净 额 10.989 (1826) 25.321 上 年 为 负</w:t>
            </w:r>
          </w:p>
        </w:tc>
      </w:tr>
      <w:tr>
        <w:tc>
          <w:tcPr>
            <w:tcW w:type="dxa" w:w="8640"/>
          </w:tcPr>
          <w:p>
            <w:r>
              <w:t>每 股 经 营 活动 产生 的 现金 流量 净 额 〈 元 ) 0.64 (号 三 1.54 上 年 为 负</w:t>
            </w:r>
          </w:p>
        </w:tc>
      </w:tr>
      <w:tr>
        <w:tc>
          <w:tcPr>
            <w:tcW w:type="dxa" w:w="8640"/>
          </w:tcPr>
          <w:p>
            <w:r>
              <w:t>资产 总 额 〈 年 末 ) 2.953.434 2.507.149 2.186,459 17.80%</w:t>
            </w:r>
          </w:p>
        </w:tc>
      </w:tr>
      <w:tr>
        <w:tc>
          <w:tcPr>
            <w:tcW w:type="dxa" w:w="8640"/>
          </w:tcPr>
          <w:p>
            <w:r>
              <w:t>股东 权益 〈 年 末 ) 202.171 161.500 130.949 25.18%</w:t>
            </w:r>
          </w:p>
        </w:tc>
      </w:tr>
      <w:tr>
        <w:tc>
          <w:tcPr>
            <w:tcW w:type="dxa" w:w="8640"/>
          </w:tcPr>
          <w:p>
            <w:r>
              <w:t>归属 于 普通 股 股东 的 股东 权益 《年 末 ) 182.218 161.500 130.949 12.83%</w:t>
            </w:r>
          </w:p>
        </w:tc>
      </w:tr>
      <w:tr>
        <w:tc>
          <w:tcPr>
            <w:tcW w:type="dxa" w:w="8640"/>
          </w:tcPr>
          <w:p>
            <w:r>
              <w:t>归属 于 普通 股 股东 的 每 股 净 资 产 〈 年 末 ， 元 ) 10.61 9.41 7.96 12.75%</w:t>
            </w:r>
          </w:p>
        </w:tc>
      </w:tr>
    </w:tbl>
    <w:p>
      <w:r>
        <w:t>注:本行2015年度利润分配方案在2016年上半年实施完毕，以本行2015年12月31日的总股本14.308,676.139</w:t>
        <w:br/>
        <w:t>股为基数，向全体股东每10股派发现金股利人民币1.53元〈含税)，并以资本公积金向全体股东每10股转增2股。</w:t>
      </w:r>
    </w:p>
    <w:p>
      <w:r>
        <w:t>根据《公开发行证券的公司信息披露编报规则第9号一一净资产收益率和每股收益的计算及披露(2010年修订)》</w:t>
        <w:br/>
        <w:t>的规定，需按调整后的股数重新计算各比较期间的每股收益。上表各比较期的每股收益、每股经营活动产生的现金流</w:t>
        <w:br/>
        <w:t>量净额、归属于普通股股东的每股净资产均按调整后的股数重新计算。</w:t>
      </w:r>
    </w:p>
    <w:p>
      <w:r>
        <w:t>报告期末至年度报告披露日股本是否因发行新股、增发、配股、股权激励行权、回购等原因发</w:t>
        <w:br/>
        <w:t>生变化且影响所有者权益金额</w:t>
        <w:br/>
        <w:t>口是“Vv和否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