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01B65369" w14:textId="77777777" w:rsidR="0044421D" w:rsidRDefault="0044421D" w:rsidP="00FD1B79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25FE83AF" w14:textId="5B345539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53B044B2">
            <wp:extent cx="3752850" cy="281866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28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63C9B822">
            <wp:extent cx="3836359" cy="1832610"/>
            <wp:effectExtent l="19050" t="19050" r="1206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72" cy="184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2B7F3462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coffee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1.50</w:t>
      </w:r>
    </w:p>
    <w:p w14:paraId="187E6E3B" w14:textId="298DD376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water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1.00</w:t>
      </w:r>
    </w:p>
    <w:p w14:paraId="455786E7" w14:textId="0923C1C8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coke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1.40</w:t>
      </w:r>
    </w:p>
    <w:p w14:paraId="49DF31F8" w14:textId="3BB970F1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snacks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28BDF03">
            <wp:extent cx="5490210" cy="586278"/>
            <wp:effectExtent l="19050" t="19050" r="1524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231" cy="59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23DF9B05">
            <wp:extent cx="4316730" cy="803275"/>
            <wp:effectExtent l="19050" t="19050" r="2667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047" cy="805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</w:t>
      </w:r>
      <w:proofErr w:type="gramStart"/>
      <w:r w:rsidRPr="001B0B7E">
        <w:t>the repeat</w:t>
      </w:r>
      <w:proofErr w:type="gramEnd"/>
      <w:r w:rsidRPr="001B0B7E">
        <w:t xml:space="preserve">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62EE517E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3</w:t>
            </w:r>
          </w:p>
        </w:tc>
        <w:tc>
          <w:tcPr>
            <w:tcW w:w="1138" w:type="dxa"/>
          </w:tcPr>
          <w:p w14:paraId="3E71EFBD" w14:textId="3E2F2A6D" w:rsidR="001B0B7E" w:rsidRPr="00C36D6A" w:rsidRDefault="00C14107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125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135EAAA1" w14:textId="462B96CE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ListParagraph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lastRenderedPageBreak/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0E697329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  <w:r w:rsidR="000C4E1B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1B86B868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  <w:r w:rsidR="000C4E1B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A82E2D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F6E3" w14:textId="77777777" w:rsidR="00A82E2D" w:rsidRDefault="00A82E2D" w:rsidP="008068A2">
      <w:pPr>
        <w:spacing w:after="0" w:line="240" w:lineRule="auto"/>
      </w:pPr>
      <w:r>
        <w:separator/>
      </w:r>
    </w:p>
  </w:endnote>
  <w:endnote w:type="continuationSeparator" w:id="0">
    <w:p w14:paraId="26C630ED" w14:textId="77777777" w:rsidR="00A82E2D" w:rsidRDefault="00A82E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C6BF" w14:textId="77777777" w:rsidR="00A82E2D" w:rsidRDefault="00A82E2D" w:rsidP="008068A2">
      <w:pPr>
        <w:spacing w:after="0" w:line="240" w:lineRule="auto"/>
      </w:pPr>
      <w:r>
        <w:separator/>
      </w:r>
    </w:p>
  </w:footnote>
  <w:footnote w:type="continuationSeparator" w:id="0">
    <w:p w14:paraId="5BEA534D" w14:textId="77777777" w:rsidR="00A82E2D" w:rsidRDefault="00A82E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rwUA1FpM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558CB"/>
    <w:rsid w:val="00064D15"/>
    <w:rsid w:val="0008559D"/>
    <w:rsid w:val="00086727"/>
    <w:rsid w:val="0009209B"/>
    <w:rsid w:val="000A6794"/>
    <w:rsid w:val="000B39E6"/>
    <w:rsid w:val="000B56F0"/>
    <w:rsid w:val="000C4807"/>
    <w:rsid w:val="000C4E1B"/>
    <w:rsid w:val="000C5361"/>
    <w:rsid w:val="00103906"/>
    <w:rsid w:val="001275B9"/>
    <w:rsid w:val="00142C75"/>
    <w:rsid w:val="001449E8"/>
    <w:rsid w:val="001619DF"/>
    <w:rsid w:val="0016244E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4421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6F70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E26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49D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8F6349"/>
    <w:rsid w:val="00902E68"/>
    <w:rsid w:val="00912BC6"/>
    <w:rsid w:val="0092145D"/>
    <w:rsid w:val="0092161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12FDD"/>
    <w:rsid w:val="00A35790"/>
    <w:rsid w:val="00A45A89"/>
    <w:rsid w:val="00A46EE9"/>
    <w:rsid w:val="00A47F12"/>
    <w:rsid w:val="00A66DE2"/>
    <w:rsid w:val="00A70227"/>
    <w:rsid w:val="00A82E2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7E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107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9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1135</Words>
  <Characters>4960</Characters>
  <Application>Microsoft Office Word</Application>
  <DocSecurity>0</DocSecurity>
  <Lines>248</Lines>
  <Paragraphs>243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Lab</dc:title>
  <dc:subject>Technology Fundamentals – Practical Training Course @ SoftUni</dc:subject>
  <dc:creator>Software University</dc:creator>
  <cp:keywords>Java Fundamentals - Methods -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2024-02-07T13:04:00Z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42d8d64933011d4583160cd2b4fe90feeabd2217354eea3f2a48f94c96377c1a</vt:lpwstr>
  </property>
</Properties>
</file>