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4C651A35" w14:textId="77777777" w:rsidR="00842729" w:rsidRDefault="00842729" w:rsidP="007B4947">
      <w:pPr>
        <w:jc w:val="center"/>
      </w:pPr>
      <w:r>
        <w:t xml:space="preserve">Problems with exercises and homework for the </w:t>
      </w:r>
      <w:hyperlink r:id="rId8" w:history="1">
        <w:r>
          <w:rPr>
            <w:rStyle w:val="Hyperlink"/>
          </w:rPr>
          <w:t xml:space="preserve">"Programming Fundamentals" course @ </w:t>
        </w:r>
        <w:r>
          <w:rPr>
            <w:rStyle w:val="Hyperlink"/>
            <w:noProof/>
          </w:rPr>
          <w:t>SoftUni</w:t>
        </w:r>
        <w:r>
          <w:rPr>
            <w:rStyle w:val="Hyperlink"/>
          </w:rPr>
          <w:t>.</w:t>
        </w:r>
      </w:hyperlink>
    </w:p>
    <w:p w14:paraId="1B508858" w14:textId="255F1994"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ListParagraph"/>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46B3FF2E"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8836" w14:textId="77777777" w:rsidR="00312BEF" w:rsidRDefault="00312BEF" w:rsidP="008068A2">
      <w:pPr>
        <w:spacing w:after="0" w:line="240" w:lineRule="auto"/>
      </w:pPr>
      <w:r>
        <w:separator/>
      </w:r>
    </w:p>
  </w:endnote>
  <w:endnote w:type="continuationSeparator" w:id="0">
    <w:p w14:paraId="59CB9ED4" w14:textId="77777777" w:rsidR="00312BEF" w:rsidRDefault="00312B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F4FE" w14:textId="77777777" w:rsidR="00312BEF" w:rsidRDefault="00312BEF" w:rsidP="008068A2">
      <w:pPr>
        <w:spacing w:after="0" w:line="240" w:lineRule="auto"/>
      </w:pPr>
      <w:r>
        <w:separator/>
      </w:r>
    </w:p>
  </w:footnote>
  <w:footnote w:type="continuationSeparator" w:id="0">
    <w:p w14:paraId="70FD017F" w14:textId="77777777" w:rsidR="00312BEF" w:rsidRDefault="00312B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037">
    <w:abstractNumId w:val="1"/>
  </w:num>
  <w:num w:numId="2" w16cid:durableId="275253387">
    <w:abstractNumId w:val="43"/>
  </w:num>
  <w:num w:numId="3" w16cid:durableId="505025798">
    <w:abstractNumId w:val="9"/>
  </w:num>
  <w:num w:numId="4" w16cid:durableId="1229993373">
    <w:abstractNumId w:val="27"/>
  </w:num>
  <w:num w:numId="5" w16cid:durableId="770246627">
    <w:abstractNumId w:val="28"/>
  </w:num>
  <w:num w:numId="6" w16cid:durableId="916283719">
    <w:abstractNumId w:val="32"/>
  </w:num>
  <w:num w:numId="7" w16cid:durableId="659774570">
    <w:abstractNumId w:val="4"/>
  </w:num>
  <w:num w:numId="8" w16cid:durableId="837305098">
    <w:abstractNumId w:val="8"/>
  </w:num>
  <w:num w:numId="9" w16cid:durableId="1799715217">
    <w:abstractNumId w:val="25"/>
  </w:num>
  <w:num w:numId="10" w16cid:durableId="3974857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859648">
    <w:abstractNumId w:val="5"/>
  </w:num>
  <w:num w:numId="12" w16cid:durableId="1862429198">
    <w:abstractNumId w:val="19"/>
  </w:num>
  <w:num w:numId="13" w16cid:durableId="1353921883">
    <w:abstractNumId w:val="2"/>
  </w:num>
  <w:num w:numId="14" w16cid:durableId="659620986">
    <w:abstractNumId w:val="31"/>
  </w:num>
  <w:num w:numId="15" w16cid:durableId="374622877">
    <w:abstractNumId w:val="10"/>
  </w:num>
  <w:num w:numId="16" w16cid:durableId="2112966906">
    <w:abstractNumId w:val="36"/>
  </w:num>
  <w:num w:numId="17" w16cid:durableId="218980474">
    <w:abstractNumId w:val="26"/>
  </w:num>
  <w:num w:numId="18" w16cid:durableId="1594317978">
    <w:abstractNumId w:val="42"/>
  </w:num>
  <w:num w:numId="19" w16cid:durableId="634917384">
    <w:abstractNumId w:val="33"/>
  </w:num>
  <w:num w:numId="20" w16cid:durableId="1289819942">
    <w:abstractNumId w:val="18"/>
  </w:num>
  <w:num w:numId="21" w16cid:durableId="2041667177">
    <w:abstractNumId w:val="30"/>
  </w:num>
  <w:num w:numId="22" w16cid:durableId="330527574">
    <w:abstractNumId w:val="12"/>
  </w:num>
  <w:num w:numId="23" w16cid:durableId="79643521">
    <w:abstractNumId w:val="15"/>
  </w:num>
  <w:num w:numId="24" w16cid:durableId="1898543751">
    <w:abstractNumId w:val="3"/>
  </w:num>
  <w:num w:numId="25" w16cid:durableId="534270136">
    <w:abstractNumId w:val="7"/>
  </w:num>
  <w:num w:numId="26" w16cid:durableId="1715349105">
    <w:abstractNumId w:val="16"/>
  </w:num>
  <w:num w:numId="27" w16cid:durableId="377974563">
    <w:abstractNumId w:val="35"/>
  </w:num>
  <w:num w:numId="28" w16cid:durableId="754283613">
    <w:abstractNumId w:val="17"/>
  </w:num>
  <w:num w:numId="29" w16cid:durableId="1668939898">
    <w:abstractNumId w:val="41"/>
  </w:num>
  <w:num w:numId="30" w16cid:durableId="2053534825">
    <w:abstractNumId w:val="20"/>
  </w:num>
  <w:num w:numId="31" w16cid:durableId="988022185">
    <w:abstractNumId w:val="11"/>
  </w:num>
  <w:num w:numId="32" w16cid:durableId="200899859">
    <w:abstractNumId w:val="34"/>
  </w:num>
  <w:num w:numId="33" w16cid:durableId="705570381">
    <w:abstractNumId w:val="37"/>
  </w:num>
  <w:num w:numId="34" w16cid:durableId="1648972689">
    <w:abstractNumId w:val="24"/>
  </w:num>
  <w:num w:numId="35" w16cid:durableId="1308320485">
    <w:abstractNumId w:val="39"/>
  </w:num>
  <w:num w:numId="36" w16cid:durableId="624508100">
    <w:abstractNumId w:val="6"/>
  </w:num>
  <w:num w:numId="37" w16cid:durableId="459808478">
    <w:abstractNumId w:val="22"/>
  </w:num>
  <w:num w:numId="38" w16cid:durableId="1004361542">
    <w:abstractNumId w:val="14"/>
  </w:num>
  <w:num w:numId="39" w16cid:durableId="857430240">
    <w:abstractNumId w:val="29"/>
  </w:num>
  <w:num w:numId="40" w16cid:durableId="933047858">
    <w:abstractNumId w:val="23"/>
  </w:num>
  <w:num w:numId="41" w16cid:durableId="1073964456">
    <w:abstractNumId w:val="0"/>
  </w:num>
  <w:num w:numId="42" w16cid:durableId="415631849">
    <w:abstractNumId w:val="21"/>
  </w:num>
  <w:num w:numId="43" w16cid:durableId="1055101">
    <w:abstractNumId w:val="38"/>
  </w:num>
  <w:num w:numId="44" w16cid:durableId="671445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qwUAuHobzi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46F03"/>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2BEF"/>
    <w:rsid w:val="003230CF"/>
    <w:rsid w:val="0033212E"/>
    <w:rsid w:val="0033490F"/>
    <w:rsid w:val="00380A57"/>
    <w:rsid w:val="003817EF"/>
    <w:rsid w:val="00382A45"/>
    <w:rsid w:val="00397E3D"/>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B597F"/>
    <w:rsid w:val="007C2C37"/>
    <w:rsid w:val="007C3E81"/>
    <w:rsid w:val="007C42AC"/>
    <w:rsid w:val="007D7373"/>
    <w:rsid w:val="007D742F"/>
    <w:rsid w:val="007E0960"/>
    <w:rsid w:val="007E4E4F"/>
    <w:rsid w:val="007F04BF"/>
    <w:rsid w:val="007F177C"/>
    <w:rsid w:val="007F5F65"/>
    <w:rsid w:val="00801502"/>
    <w:rsid w:val="00803217"/>
    <w:rsid w:val="008063E1"/>
    <w:rsid w:val="008068A2"/>
    <w:rsid w:val="008105A0"/>
    <w:rsid w:val="00836CA4"/>
    <w:rsid w:val="00842729"/>
    <w:rsid w:val="0085184F"/>
    <w:rsid w:val="00861625"/>
    <w:rsid w:val="008617B5"/>
    <w:rsid w:val="00870828"/>
    <w:rsid w:val="0088080B"/>
    <w:rsid w:val="008939E4"/>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9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1/programming-fundamentals-with-java-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1149</Words>
  <Characters>5745</Characters>
  <Application>Microsoft Office Word</Application>
  <DocSecurity>0</DocSecurity>
  <Lines>191</Lines>
  <Paragraphs>164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Text Processing Exercise</dc:title>
  <dc:subject>Programming Fundamentals – Practical Training Course @ SoftUni</dc:subject>
  <dc:creator>Software University</dc:creator>
  <cp:keywords>Java Fundamentals - Text Processing Exercise</cp:keywords>
  <dc:description>© SoftUni – https://about.softuni.bg
© Software University – https://softuni.bg
Copyrighted document. Unauthorized copy, reproduction or use is not permitted.</dc:description>
  <cp:lastModifiedBy>Petar Chulin</cp:lastModifiedBy>
  <cp:revision>20</cp:revision>
  <cp:lastPrinted>2015-10-26T22:35:00Z</cp:lastPrinted>
  <dcterms:created xsi:type="dcterms:W3CDTF">2019-11-12T12:29:00Z</dcterms:created>
  <dcterms:modified xsi:type="dcterms:W3CDTF">2023-12-13T11:53:00Z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