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rPr/>
      </w:pPr>
      <w:r>
        <w:rPr/>
        <w:t>MBSD Lab #2 A.Y. 2022/23</w:t>
      </w:r>
    </w:p>
    <w:p>
      <w:pPr>
        <w:pStyle w:val="Titolo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Cihan Yurtsever, 296824</w:t>
      </w:r>
    </w:p>
    <w:p>
      <w:pPr>
        <w:pStyle w:val="ListParagraph"/>
        <w:numPr>
          <w:ilvl w:val="0"/>
          <w:numId w:val="3"/>
        </w:numPr>
        <w:rPr/>
      </w:pPr>
      <w:r>
        <w:rPr/>
        <w:t>Alessandro Cavalli, 301494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Titolo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Figure 1. Overall Control System Structure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42085"/>
            <wp:effectExtent l="0" t="0" r="0" b="0"/>
            <wp:wrapSquare wrapText="largest"/>
            <wp:docPr id="6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2.  High level control system implementation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91555" cy="2008505"/>
            <wp:effectExtent l="0" t="0" r="0" b="0"/>
            <wp:wrapSquare wrapText="largest"/>
            <wp:docPr id="7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3. High level Controller block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468245"/>
            <wp:effectExtent l="0" t="0" r="0" b="0"/>
            <wp:wrapNone/>
            <wp:docPr id="8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  <w:t>Figure 4. Finite State Machine of the Controller.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chart logic is inherited </w:t>
      </w:r>
      <w:r>
        <w:rPr>
          <w:i w:val="false"/>
          <w:iCs w:val="false"/>
        </w:rPr>
        <w:t>from</w:t>
      </w:r>
      <w:r>
        <w:rPr>
          <w:i w:val="false"/>
          <w:iCs w:val="false"/>
        </w:rPr>
        <w:t xml:space="preserve"> the provided Explanation.pptx file which </w:t>
      </w:r>
      <w:r>
        <w:rPr>
          <w:i w:val="false"/>
          <w:iCs w:val="false"/>
        </w:rPr>
        <w:t>explains</w:t>
      </w:r>
      <w:r>
        <w:rPr>
          <w:i w:val="false"/>
          <w:iCs w:val="false"/>
        </w:rPr>
        <w:t xml:space="preserve"> the </w:t>
      </w:r>
      <w:r>
        <w:rPr>
          <w:i w:val="false"/>
          <w:iCs w:val="false"/>
        </w:rPr>
        <w:t>modes</w:t>
      </w:r>
      <w:r>
        <w:rPr>
          <w:i w:val="false"/>
          <w:iCs w:val="false"/>
        </w:rPr>
        <w:t xml:space="preserve"> of the one pedal system. In the unconditional arrows we used the conditions to avoid the state diagram to </w:t>
      </w:r>
      <w:r>
        <w:rPr>
          <w:i w:val="false"/>
          <w:iCs w:val="false"/>
        </w:rPr>
        <w:t xml:space="preserve">jump </w:t>
      </w:r>
      <w:r>
        <w:rPr>
          <w:i w:val="false"/>
          <w:iCs w:val="false"/>
        </w:rPr>
        <w:t>when the state con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ti</w:t>
      </w:r>
      <w:r>
        <w:rPr>
          <w:i w:val="false"/>
          <w:iCs w:val="false"/>
        </w:rPr>
        <w:t xml:space="preserve">on is not yet taken.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>
          <w:i w:val="false"/>
          <w:iCs w:val="false"/>
        </w:rPr>
        <w:t>Result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114300</wp:posOffset>
            </wp:positionH>
            <wp:positionV relativeFrom="paragraph">
              <wp:posOffset>137795</wp:posOffset>
            </wp:positionV>
            <wp:extent cx="5731510" cy="3247390"/>
            <wp:effectExtent l="0" t="0" r="0" b="0"/>
            <wp:wrapTopAndBottom/>
            <wp:docPr id="9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Figure 5.   Simulation Data Inspector Results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Application>LibreOffice/7.4.3.2$Windows_X86_64 LibreOffice_project/1048a8393ae2eeec98dff31b5c133c5f1d08b890</Application>
  <AppVersion>15.0000</AppVersion>
  <Pages>10</Pages>
  <Words>1125</Words>
  <Characters>5687</Characters>
  <CharactersWithSpaces>6685</CharactersWithSpaces>
  <Paragraphs>158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2023-05-10T16:23:35Z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