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rPr/>
      </w:pPr>
      <w:r>
        <w:rPr/>
        <w:t>MBSD Lab #2 A.Y. 2022/23</w:t>
      </w:r>
    </w:p>
    <w:p>
      <w:pPr>
        <w:pStyle w:val="Heading1"/>
        <w:spacing w:lineRule="auto" w:line="360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Implement the “one pedal controller” as a Simulink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implement the system, follow the description already provided in the Laboratory 1 document considering also eventual assumptions already stated in this latter document. </w:t>
      </w:r>
    </w:p>
    <w:p>
      <w:pPr>
        <w:pStyle w:val="Normal"/>
        <w:rPr/>
      </w:pPr>
      <w:r>
        <w:rPr/>
        <w:t>The safety mechanisms are not required in this laboratory.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Simulink project has to be split into 3 files: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Harness.slx</w:t>
      </w:r>
      <w:r>
        <w:rPr/>
        <w:t>, containing reference models for the controller and plant and test stimuli generation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Controller.slx</w:t>
      </w:r>
      <w:r>
        <w:rPr/>
        <w:t>, containing the controller (to be developed)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Plant.slx</w:t>
      </w:r>
      <w:r>
        <w:rPr/>
        <w:t>, containing the car longitudinal physical model.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The longitudinal physical model and the test stimuli generators shall demonstrate the effectiveness of the implemented controller with respect to the expected functionalities.</w:t>
      </w:r>
    </w:p>
    <w:p>
      <w:pPr>
        <w:pStyle w:val="Normal"/>
        <w:rPr/>
      </w:pPr>
      <w:r>
        <w:rPr/>
        <w:t>Consider the plant model description as an example of the comments to be inserted in the Controller Software Unit  description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Templates of these files are available alongside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The deliverable, composed of the 3 Simulink models and a PDF file obtained by filling the following pages of this document (please delete this first page), has to be provided as a .ZIP file up to </w:t>
      </w:r>
      <w:r>
        <w:rPr>
          <w:b/>
          <w:bCs/>
          <w:highlight w:val="yellow"/>
        </w:rPr>
        <w:t>May 14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 through “Consegna Elaborati” of the Portale della Didattica.</w:t>
      </w:r>
      <w:r>
        <w:rPr>
          <w:highlight w:val="yellow"/>
        </w:rPr>
        <w:t xml:space="preserve"> It shall also contain a brief report explaining the design of the controller, using the following template.</w:t>
      </w:r>
      <w:r>
        <w:rPr/>
        <w:t xml:space="preserve"> It is sufficient that only one of the group members uploads it.</w:t>
      </w:r>
      <w:r>
        <w:br w:type="page"/>
      </w:r>
    </w:p>
    <w:p>
      <w:pPr>
        <w:pStyle w:val="Heading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Laboratory 2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Components of the working group (max 2 people)</w:t>
      </w:r>
    </w:p>
    <w:p>
      <w:pPr>
        <w:pStyle w:val="ListParagraph"/>
        <w:numPr>
          <w:ilvl w:val="0"/>
          <w:numId w:val="3"/>
        </w:numPr>
        <w:rPr/>
      </w:pPr>
      <w:r>
        <w:rPr/>
        <w:t>Cihan Yurtsever, 296824</w:t>
      </w:r>
    </w:p>
    <w:p>
      <w:pPr>
        <w:pStyle w:val="ListParagraph"/>
        <w:numPr>
          <w:ilvl w:val="0"/>
          <w:numId w:val="3"/>
        </w:numPr>
        <w:rPr/>
      </w:pPr>
      <w:r>
        <w:rPr/>
        <w:t>Alessandro Cavalli, 301494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External interfaces of the plant</w:t>
      </w:r>
    </w:p>
    <w:tbl>
      <w:tblPr>
        <w:tblStyle w:val="TableGrid"/>
        <w:tblW w:w="91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6"/>
        <w:gridCol w:w="2654"/>
        <w:gridCol w:w="2572"/>
      </w:tblGrid>
      <w:tr>
        <w:trPr>
          <w:trHeight w:val="235" w:hRule="atLeast"/>
        </w:trPr>
        <w:tc>
          <w:tcPr>
            <w:tcW w:w="39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265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Direction</w:t>
            </w:r>
          </w:p>
        </w:tc>
        <w:tc>
          <w:tcPr>
            <w:tcW w:w="2572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</w:tr>
      <w:tr>
        <w:trPr>
          <w:trHeight w:val="213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Requested_Torque_Nm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5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Vehicle_Speed_km_h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Automatic_Transmission_Selector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Input (from the driver to the controller)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 {P, R, N, D, P}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Selected mode/errors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Output (to the driver)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  <w:lang w:val="it-IT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Equations of the plant</w:t>
      </w:r>
    </w:p>
    <w:p>
      <w:pPr>
        <w:pStyle w:val="Normal"/>
        <w:rPr/>
      </w:pPr>
      <w:r>
        <w:rPr/>
        <w:t xml:space="preserve">The plant considered in this model is the so-called </w:t>
      </w:r>
      <w:r>
        <w:rPr>
          <w:i/>
          <w:iCs/>
        </w:rPr>
        <w:t>Vehicle Longitudinal Dynamics</w:t>
      </w:r>
      <w:r>
        <w:rPr/>
        <w:t>.</w:t>
      </w:r>
    </w:p>
    <w:p>
      <w:pPr>
        <w:pStyle w:val="Normal"/>
        <w:rPr/>
      </w:pPr>
      <w:r>
        <w:rPr/>
        <w:t>Considering:</w:t>
      </w:r>
    </w:p>
    <w:p>
      <w:pPr>
        <w:pStyle w:val="Normal"/>
        <w:rPr/>
      </w:pPr>
      <w:r>
        <w:rPr/>
        <w:drawing>
          <wp:inline distT="0" distB="0" distL="0" distR="0">
            <wp:extent cx="4868545" cy="19380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acceleration,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longitudinal speed,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mass,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wheel on the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 due to the frictions with air and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moment of inertia of each one of the wheels,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radius of the wheel,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engine/electrical motor,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e>
          <m:sub>
            <m:r>
              <w:rPr>
                <w:rFonts w:ascii="Cambria Math" w:hAnsi="Cambria Math"/>
              </w:rPr>
              <m:t xml:space="preserve">RPM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60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 electrical motor,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revolutions</m:t>
        </m:r>
        <m:r>
          <w:rPr>
            <w:rFonts w:ascii="Cambria Math" w:hAnsi="Cambria Math"/>
          </w:rPr>
          <m:t xml:space="preserve">per</m:t>
        </m:r>
        <m:r>
          <w:rPr>
            <w:rFonts w:ascii="Cambria Math" w:hAnsi="Cambria Math"/>
          </w:rPr>
          <m:t xml:space="preserve">minutes</m:t>
        </m:r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ω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acceleration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frontal surface of the car, expressed in [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automobile drag coefficient</w:t>
      </w:r>
    </w:p>
    <w:p>
      <w:pPr>
        <w:pStyle w:val="ListParagraph"/>
        <w:numPr>
          <w:ilvl w:val="0"/>
          <w:numId w:val="4"/>
        </w:numPr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  <w:iCs/>
        </w:rPr>
        <w:t xml:space="preserve">is the average density of air at sea level in standard conditions </w:t>
      </w:r>
      <w:r>
        <w:rPr>
          <w:rFonts w:eastAsia="Wingdings" w:cs="Wingdings" w:ascii="Wingdings" w:hAnsi="Wingdings"/>
          <w:iCs/>
        </w:rPr>
        <w:t></w:t>
      </w:r>
      <w:r>
        <w:rPr>
          <w:rFonts w:eastAsia="ＭＳ 明朝" w:eastAsiaTheme="minorEastAsia"/>
          <w:iCs/>
        </w:rPr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gearbox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final drive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total power train reduction ratio.</w:t>
      </w:r>
    </w:p>
    <w:p>
      <w:pPr>
        <w:pStyle w:val="Normal"/>
        <w:rPr/>
      </w:pPr>
      <w:r>
        <w:rPr/>
        <w:t>An extremely simplified model can be obtained as follow: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v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where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vehicle acceleration,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is its mass,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longitudinal force applied to its center of gravity by the effects of the torque applied on the wheels,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is the sum of the friction forces on the vehicle due to wheel-terrain and vehicle-air interactions.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Considering that the torque is equally split between the two wheels (valid only on straight tracks)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⋅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ω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absence of slipping: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⋅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ω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and considering the moment of inertia of the wheels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ＭＳ 明朝" w:eastAsiaTheme="minorEastAsia"/>
        </w:rPr>
        <w:t xml:space="preserve">, we can define the following equation, given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eastAsia="ＭＳ 明朝" w:eastAsiaTheme="minorEastAsi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The drag force that limits the maximum speed of the vehicle is equal to: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jc w:val="center"/>
        <w:rPr>
          <w:rFonts w:eastAsia="ＭＳ 明朝" w:eastAsiaTheme="minorEastAsia"/>
          <w:lang w:val="en-IT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⋅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where: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as usually modeled: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sSub>
            <m:e/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50</m:t>
              </m:r>
            </m:num>
            <m:den>
              <m:r>
                <w:rPr>
                  <w:rFonts w:ascii="Cambria Math" w:hAnsi="Cambria Math"/>
                </w:rPr>
                <m:t xml:space="preserve">3.6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substituting the (2) equation in (1), and by integrating both sides, we obtain: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</m:e>
          </m:nary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by substituting (3) in (6):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Remember that the integrator block of Simulink requires an initial condition corresponding to the vehicle's longitudinal speed at the beginning of the simulation,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ＭＳ 明朝" w:eastAsiaTheme="minorEastAsia"/>
        </w:rPr>
        <w:t xml:space="preserve">. A possible configuration of the integration block is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> REF _Ref127434984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2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model development, put all the needed gain to obtain as an output of the physical model a speed expressed in km/h.</w:t>
      </w:r>
    </w:p>
    <w:p>
      <w:pPr>
        <w:pStyle w:val="Normal"/>
        <w:rPr/>
      </w:pPr>
      <w:r>
        <w:rPr/>
        <w:t xml:space="preserve">To simulate the slope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ＭＳ 明朝" w:eastAsiaTheme="minorEastAsia"/>
        </w:rPr>
        <w:t xml:space="preserve"> </w:t>
      </w:r>
      <w:r>
        <w:rPr/>
        <w:t xml:space="preserve">of the terrain, it is possible to add the gravity force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 as follows: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9.81</m:t>
        </m:r>
      </m:oMath>
      <w:r>
        <w:rPr>
          <w:rFonts w:eastAsia="ＭＳ 明朝" w:eastAsiaTheme="minorEastAsia"/>
        </w:rPr>
        <w:t xml:space="preserve"> the gravity acceleration on Earth.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Reasonable values for an electric compact car can be: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1600</m:t>
          </m:r>
          <m:r>
            <w:rPr>
              <w:rFonts w:ascii="Cambria Math" w:hAnsi="Cambria Math"/>
            </w:rPr>
            <m:t xml:space="preserve">kg</m:t>
          </m:r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  <m:r>
            <w:rPr>
              <w:rFonts w:ascii="Cambria Math" w:hAnsi="Cambria Math"/>
            </w:rPr>
            <m:t xml:space="preserve">m</m:t>
          </m:r>
        </m:oMath>
      </m:oMathPara>
    </w:p>
    <w:p>
      <w:pPr>
        <w:pStyle w:val="ListParagraph"/>
        <w:numPr>
          <w:ilvl w:val="0"/>
          <w:numId w:val="5"/>
        </w:numPr>
        <w:rPr/>
      </w:pPr>
      <w:r>
        <w:rPr/>
        <w:t xml:space="preserve">The torque T (at the wheel) can vary in the range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960</m:t>
            </m:r>
          </m:e>
        </m:d>
        <m:r>
          <w:rPr>
            <w:rFonts w:ascii="Cambria Math" w:hAnsi="Cambria Math"/>
          </w:rPr>
          <m:t xml:space="preserve">Nm</m:t>
        </m:r>
      </m:oMath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3.5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</m:oMath>
      </m:oMathPara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5102225"/>
            <wp:effectExtent l="0" t="0" r="0" b="0"/>
            <wp:docPr id="2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left"/>
        <w:rPr>
          <w:rFonts w:eastAsia="ＭＳ 明朝" w:eastAsiaTheme="minorEastAsia"/>
        </w:rPr>
      </w:pPr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Graph showing drag forces of tires (in orange) and air (in blue) at various speeds. It is possible to observe that, as imposed in equation (5),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,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3200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those values, the top speed on level ground reachable by the car is about 230 km/h, where the drag forces equal the traction force (3200 N).</w:t>
      </w:r>
    </w:p>
    <w:p>
      <w:pPr>
        <w:pStyle w:val="Normal"/>
        <w:rPr/>
      </w:pPr>
      <w:r>
        <w:rPr/>
        <w:t>Considering the reverse direction, the maximum speed reachable with a limitation of -60 Nm is about 45 km/h.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2823210"/>
            <wp:effectExtent l="0" t="0" r="0" b="0"/>
            <wp:docPr id="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0" w:name="_Ref127434984"/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0"/>
      <w:r>
        <w:rPr/>
        <w:t xml:space="preserve"> Settings window for the Integrator block of Simulink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these values (with a certain tolerance, for example, 10 %) to saturate the integrator block.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To make the model more realistic, it is possible to compute the torque request at the engine/motor. A typical ratio value for transmission of an electric car with a single gear can be around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 xml:space="preserve">All the initialization parameters of the model are automatically loaded model by a callback of the function </w:t>
      </w:r>
      <w:r>
        <w:rPr>
          <w:rFonts w:eastAsia="ＭＳ 明朝" w:eastAsiaTheme="minorEastAsia"/>
          <w:b/>
          <w:bCs/>
        </w:rPr>
        <w:t>init_fn</w:t>
      </w:r>
      <w:r>
        <w:rPr>
          <w:rFonts w:eastAsia="ＭＳ 明朝" w:eastAsiaTheme="minorEastAsia"/>
        </w:rPr>
        <w:t xml:space="preserve"> as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> REF _Ref132700007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3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631440" cy="1639570"/>
            <wp:effectExtent l="0" t="0" r="0" b="0"/>
            <wp:docPr id="4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eastAsia="ＭＳ 明朝" w:eastAsiaTheme="minorEastAsia"/>
        </w:rPr>
      </w:pPr>
      <w:bookmarkStart w:id="1" w:name="_Ref132700007"/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"/>
      <w:r>
        <w:rPr/>
        <w:t xml:space="preserve"> init_fn callback configuration in the harness model properties.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  <w:r>
        <w:br w:type="page"/>
      </w:r>
    </w:p>
    <w:p>
      <w:pPr>
        <w:pStyle w:val="Heading2"/>
        <w:rPr/>
      </w:pPr>
      <w:r>
        <w:rPr/>
        <w:t>Description of the whole system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I/O block diagram of the plant and of the controller, showing how they interact to each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316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F</w:t>
      </w:r>
      <w:r>
        <w:rPr>
          <w:i/>
          <w:iCs/>
          <w:sz w:val="28"/>
          <w:szCs w:val="28"/>
        </w:rPr>
        <w:t>igure 1. Overall Control System Structure</w:t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42085"/>
            <wp:effectExtent l="0" t="0" r="0" b="0"/>
            <wp:wrapSquare wrapText="largest"/>
            <wp:docPr id="6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Figure 2.  High level control system implementation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091555" cy="2008505"/>
            <wp:effectExtent l="0" t="0" r="0" b="0"/>
            <wp:wrapSquare wrapText="largest"/>
            <wp:docPr id="7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Figure 3. High level Controller block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r>
        <w:rPr/>
        <w:t>Controller SW Unit specifications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Provide a brief description of the Controller functionalities and its interfaces.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Interfaces</w:t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884"/>
        <w:gridCol w:w="930"/>
        <w:gridCol w:w="1066"/>
        <w:gridCol w:w="1284"/>
        <w:gridCol w:w="940"/>
        <w:gridCol w:w="906"/>
      </w:tblGrid>
      <w:tr>
        <w:trPr/>
        <w:tc>
          <w:tcPr>
            <w:tcW w:w="299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8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Unit*</w:t>
            </w:r>
          </w:p>
        </w:tc>
        <w:tc>
          <w:tcPr>
            <w:tcW w:w="93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Data Type</w:t>
            </w:r>
          </w:p>
        </w:tc>
        <w:tc>
          <w:tcPr>
            <w:tcW w:w="12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Dimension</w:t>
            </w:r>
          </w:p>
        </w:tc>
        <w:tc>
          <w:tcPr>
            <w:tcW w:w="94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Min</w:t>
            </w:r>
          </w:p>
        </w:tc>
        <w:tc>
          <w:tcPr>
            <w:tcW w:w="90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Max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BrakePedalPressed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Boolean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ThrottlePedalPosition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VehicleSpeed_km_h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km/h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-60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240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AutomaticTrasmissionSelectorState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AutomaticTransmissionState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TorqueRequest_Nm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Nm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-40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Finite State Machine (FSM) representing the controller logic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-658495</wp:posOffset>
            </wp:positionH>
            <wp:positionV relativeFrom="paragraph">
              <wp:posOffset>66040</wp:posOffset>
            </wp:positionV>
            <wp:extent cx="6991350" cy="2468245"/>
            <wp:effectExtent l="0" t="0" r="0" b="0"/>
            <wp:wrapNone/>
            <wp:docPr id="8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Comment on the design choices of the FSM, which are not trivial to be understood just by analyzing the controller logic.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/>
      </w:pPr>
      <w:r>
        <w:rPr/>
        <w:t>Figure 4. Finite State Machine of the Controller.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The chart logic is inherited from the provided Explanation.pptx file, which explains the modes of the one pedal system. </w:t>
      </w:r>
      <w:r>
        <w:rPr>
          <w:i w:val="false"/>
          <w:iCs w:val="false"/>
        </w:rPr>
        <w:t xml:space="preserve">Then </w:t>
      </w:r>
      <w:r>
        <w:rPr>
          <w:i w:val="false"/>
          <w:iCs w:val="false"/>
        </w:rPr>
        <w:t xml:space="preserve">we added </w:t>
      </w:r>
      <w:r>
        <w:rPr>
          <w:i w:val="false"/>
          <w:iCs w:val="false"/>
        </w:rPr>
        <w:t xml:space="preserve">some additional conditions,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to force the current state to stay, if possible, in the state requested by the automatic transmission state selector.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shd w:fill="FF0000" w:val="clear"/>
        </w:rPr>
      </w:pPr>
      <w:r>
        <w:rPr>
          <w:rFonts w:asciiTheme="minorHAnsi" w:cstheme="minorBidi" w:eastAsiaTheme="minorHAnsi" w:hAnsiTheme="minorHAnsi"/>
          <w:i w:val="false"/>
          <w:iCs w:val="false"/>
          <w:shd w:fill="FF0000" w:val="clear"/>
        </w:rPr>
        <w:t xml:space="preserve">In the unconditional arrows we used the conditions to avoid the state diagram to jump when the state condition is not yet taken.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r>
        <w:rPr>
          <w:i w:val="false"/>
          <w:iCs w:val="false"/>
        </w:rPr>
        <w:t>Result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114300</wp:posOffset>
            </wp:positionH>
            <wp:positionV relativeFrom="paragraph">
              <wp:posOffset>137795</wp:posOffset>
            </wp:positionV>
            <wp:extent cx="5731510" cy="3247390"/>
            <wp:effectExtent l="0" t="0" r="0" b="0"/>
            <wp:wrapTopAndBottom/>
            <wp:docPr id="9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F</w:t>
      </w:r>
      <w:r>
        <w:rPr>
          <w:i w:val="false"/>
          <w:iCs w:val="false"/>
        </w:rPr>
        <w:t>igure 5.   Simulation Data Inspector Results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350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Internet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basedOn w:val="DefaultParagraphFont"/>
    <w:uiPriority w:val="99"/>
    <w:semiHidden/>
    <w:unhideWhenUsed/>
    <w:qFormat/>
    <w:rsid w:val="00d54ee8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035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Application>LibreOffice/7.0.4.2$Linux_X86_64 LibreOffice_project/00$Build-2</Application>
  <AppVersion>15.0000</AppVersion>
  <Pages>11</Pages>
  <Words>1150</Words>
  <Characters>5823</Characters>
  <CharactersWithSpaces>6845</CharactersWithSpaces>
  <Paragraphs>159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2023-02-14T18:35:00Z</dcterms:created>
  <dc:creator>Massimo Violante</dc:creator>
  <dc:description/>
  <dc:language>it-IT</dc:language>
  <cp:lastModifiedBy/>
  <cp:lastPrinted>2021-03-25T12:53:00Z</cp:lastPrinted>
  <dcterms:modified xsi:type="dcterms:W3CDTF">2023-05-10T17:45:52Z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