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p>
      <w:pPr>
        <w:pStyle w:val="Title"/>
        <w:spacing w:after="70"/>
      </w:pPr>
      <w:r>
        <w:t xml:space="preserve">ArmaTerimi</w:t>
      </w:r>
    </w:p>
    <w:p>
      <w:pPr>
        <w:pStyle w:val="BodyText"/>
        <w:spacing w:after="150"/>
      </w:pPr>
      <w:r>
        <w:rPr>
          <w:i/>
          <w:iCs/>
          <w:color w:val="4F6075"/>
          <w:sz w:val="20"/>
          <w:szCs w:val="20"/>
        </w:rPr>
        <w:t xml:space="preserve">Trendyol x TEKNOFEST 2026 | Stage 2 Technical Report | 28 August 2026</w:t>
      </w:r>
    </w:p>
    <w:p>
      <w:pPr>
        <w:pStyle w:val="BodyText"/>
        <w:spacing w:after="110"/>
      </w:pPr>
      <w:r>
        <w:rPr>
          <w:color w:val="24324A"/>
          <w:sz w:val="22"/>
          <w:szCs w:val="22"/>
        </w:rPr>
        <w:t xml:space="preserve">Team ArmaTerimi developed the submitted solution for the competition task: classifying each Turkish query-product pair as </w:t>
      </w:r>
      <w:r>
        <w:rPr>
          <w:b/>
          <w:bCs/>
          <w:color w:val="24324A"/>
          <w:sz w:val="22"/>
          <w:szCs w:val="22"/>
        </w:rPr>
        <w:t xml:space="preserve">irrelevant</w:t>
      </w:r>
      <w:r>
        <w:rPr>
          <w:color w:val="24324A"/>
          <w:sz w:val="22"/>
          <w:szCs w:val="22"/>
        </w:rPr>
        <w:t xml:space="preserve">, </w:t>
      </w:r>
      <w:r>
        <w:rPr>
          <w:b/>
          <w:bCs/>
          <w:color w:val="24324A"/>
          <w:sz w:val="22"/>
          <w:szCs w:val="22"/>
        </w:rPr>
        <w:t xml:space="preserve">semi-relevant</w:t>
      </w:r>
      <w:r>
        <w:rPr>
          <w:color w:val="24324A"/>
          <w:sz w:val="22"/>
          <w:szCs w:val="22"/>
        </w:rPr>
        <w:t xml:space="preserve">, or </w:t>
      </w:r>
      <w:r>
        <w:rPr>
          <w:b/>
          <w:bCs/>
          <w:color w:val="24324A"/>
          <w:sz w:val="22"/>
          <w:szCs w:val="22"/>
        </w:rPr>
        <w:t xml:space="preserve">relevant</w:t>
      </w:r>
      <w:r>
        <w:rPr>
          <w:color w:val="24324A"/>
          <w:sz w:val="22"/>
          <w:szCs w:val="22"/>
        </w:rPr>
        <w:t xml:space="preserve">. Our submission uses one compact cross-encoder and serves both deterministic batch inference and model-grounded explanations from the same offline Docker image.</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2250"/>
        <w:gridCol w:w="2250"/>
        <w:gridCol w:w="2250"/>
        <w:gridCol w:w="2250"/>
      </w:tblGrid>
      <w:tr>
        <w:trPr>
          <w:cantSplit/>
        </w:trPr>
        <w:tc>
          <w:tcPr>
            <w:tcW w:w="2250" w:type="dxa"/>
            <w:shd w:val="clear" w:color="auto" w:fill="163F70"/>
          </w:tcPr>
          <w:p>
            <w:pPr>
              <w:pStyle w:val="Compact"/>
              <w:spacing w:after="20"/>
            </w:pPr>
            <w:r>
              <w:rPr>
                <w:b/>
                <w:bCs/>
                <w:color w:val="FFFFFF"/>
              </w:rPr>
              <w:t xml:space="preserve">Submitted model</w:t>
            </w:r>
          </w:p>
        </w:tc>
        <w:tc>
          <w:tcPr>
            <w:tcW w:w="2250" w:type="dxa"/>
            <w:shd w:val="clear" w:color="auto" w:fill="163F70"/>
          </w:tcPr>
          <w:p>
            <w:pPr>
              <w:pStyle w:val="Compact"/>
              <w:spacing w:after="20"/>
            </w:pPr>
            <w:r>
              <w:rPr>
                <w:b/>
                <w:bCs/>
                <w:color w:val="FFFFFF"/>
              </w:rPr>
              <w:t xml:space="preserve">Public F1</w:t>
            </w:r>
          </w:p>
        </w:tc>
        <w:tc>
          <w:tcPr>
            <w:tcW w:w="2250" w:type="dxa"/>
            <w:shd w:val="clear" w:color="auto" w:fill="163F70"/>
          </w:tcPr>
          <w:p>
            <w:pPr>
              <w:pStyle w:val="Compact"/>
              <w:spacing w:after="20"/>
            </w:pPr>
            <w:r>
              <w:rPr>
                <w:b/>
                <w:bCs/>
                <w:color w:val="FFFFFF"/>
              </w:rPr>
              <w:t xml:space="preserve">90K runtime</w:t>
            </w:r>
          </w:p>
        </w:tc>
        <w:tc>
          <w:tcPr>
            <w:tcW w:w="2250" w:type="dxa"/>
            <w:shd w:val="clear" w:color="auto" w:fill="163F70"/>
          </w:tcPr>
          <w:p>
            <w:pPr>
              <w:pStyle w:val="Compact"/>
              <w:spacing w:after="20"/>
            </w:pPr>
            <w:r>
              <w:rPr>
                <w:b/>
                <w:bCs/>
                <w:color w:val="FFFFFF"/>
              </w:rPr>
              <w:t xml:space="preserve">Reproducibility</w:t>
            </w:r>
          </w:p>
        </w:tc>
      </w:tr>
      <w:tr>
        <w:trPr>
          <w:cantSplit/>
        </w:trPr>
        <w:tc>
          <w:tcPr>
            <w:tcW w:w="2250" w:type="dxa"/>
          </w:tcPr>
          <w:p>
            <w:pPr>
              <w:pStyle w:val="Compact"/>
              <w:spacing w:after="20"/>
            </w:pPr>
            <w:r>
              <w:t xml:space="preserve">BERTurk-128k, 184.3M parameters</w:t>
            </w:r>
          </w:p>
        </w:tc>
        <w:tc>
          <w:tcPr>
            <w:tcW w:w="2250" w:type="dxa"/>
          </w:tcPr>
          <w:p>
            <w:pPr>
              <w:pStyle w:val="Compact"/>
              <w:spacing w:after="20"/>
            </w:pPr>
            <w:r>
              <w:t>0.8579</w:t>
            </w:r>
          </w:p>
        </w:tc>
        <w:tc>
          <w:tcPr>
            <w:tcW w:w="2250" w:type="dxa"/>
          </w:tcPr>
          <w:p>
            <w:pPr>
              <w:pStyle w:val="Compact"/>
              <w:spacing w:after="20"/>
            </w:pPr>
            <w:r>
              <w:t xml:space="preserve">about 20 s</w:t>
            </w:r>
            <w:r>
              <w:br/>
            </w:r>
            <w:r>
              <w:t xml:space="preserve">about 4,500 rows/s</w:t>
            </w:r>
          </w:p>
        </w:tc>
        <w:tc>
          <w:tcPr>
            <w:tcW w:w="2250" w:type="dxa"/>
          </w:tcPr>
          <w:p>
            <w:pPr>
              <w:pStyle w:val="Compact"/>
              <w:spacing w:after="20"/>
            </w:pPr>
            <w:r>
              <w:t xml:space="preserve">100%</w:t>
            </w:r>
            <w:r>
              <w:br/>
            </w:r>
            <w:r>
              <w:t xml:space="preserve">label agreement across three runs</w:t>
            </w:r>
          </w:p>
        </w:tc>
      </w:tr>
    </w:tbl>
    <w:p>
      <w:pPr>
        <w:pStyle w:val="BodyText"/>
        <w:spacing w:after="90"/>
        <w:shd w:val="clear" w:color="auto" w:fill="F3F7FB"/>
        <w:pBdr>
          <w:left w:val="single" w:sz="24" w:space="6" w:color="2E6BA6"/>
        </w:pBdr>
      </w:pPr>
      <w:r>
        <w:rPr>
          <w:b/>
          <w:bCs/>
        </w:rPr>
        <w:t xml:space="preserve">Validation statement.</w:t>
      </w:r>
      <w:r>
        <w:t xml:space="preserve"> Public labels were used for validation and calibration, never as training rows. The public set was split once by query into DEV and HOLDOUT, 3,750 rows each. Model selection and threshold fitting used DEV; HOLDOUT was read only after decisions were frozen.</w:t>
      </w:r>
    </w:p>
    <w:p>
      <w:pPr>
        <w:pStyle w:val="Heading2"/>
        <w:spacing w:before="250" w:after="80"/>
      </w:pPr>
      <w:r>
        <w:t xml:space="preserve">Table of Contents</w:t>
      </w:r>
    </w:p>
    <w:p>
      <w:pPr>
        <w:pStyle w:val="BodyText"/>
        <w:ind w:left="360" w:hanging="220"/>
        <w:spacing w:after="45"/>
      </w:pPr>
      <w:r>
        <w:t xml:space="preserve">1. </w:t>
      </w:r>
      <w:r>
        <w:t xml:space="preserve">Summary of the pipeline flow</w:t>
      </w:r>
    </w:p>
    <w:p>
      <w:pPr>
        <w:pStyle w:val="BodyText"/>
        <w:ind w:left="360" w:hanging="220"/>
        <w:spacing w:after="45"/>
      </w:pPr>
      <w:r>
        <w:t xml:space="preserve">2. </w:t>
      </w:r>
      <w:r>
        <w:t xml:space="preserve">EDA and key findings regarding the data</w:t>
      </w:r>
    </w:p>
    <w:p>
      <w:pPr>
        <w:pStyle w:val="BodyText"/>
        <w:ind w:left="360" w:hanging="220"/>
        <w:spacing w:after="45"/>
      </w:pPr>
      <w:r>
        <w:t xml:space="preserve">3. </w:t>
      </w:r>
      <w:r>
        <w:t xml:space="preserve">Negative sampling process</w:t>
      </w:r>
    </w:p>
    <w:p>
      <w:pPr>
        <w:pStyle w:val="BodyText"/>
        <w:ind w:left="360" w:hanging="220"/>
        <w:spacing w:after="45"/>
      </w:pPr>
      <w:r>
        <w:t xml:space="preserve">4. </w:t>
      </w:r>
      <w:r>
        <w:t xml:space="preserve">All processes considered as data generation</w:t>
      </w:r>
    </w:p>
    <w:p>
      <w:pPr>
        <w:pStyle w:val="BodyText"/>
        <w:ind w:left="360" w:hanging="220"/>
        <w:spacing w:after="45"/>
      </w:pPr>
      <w:r>
        <w:t xml:space="preserve">5. </w:t>
      </w:r>
      <w:r>
        <w:t xml:space="preserve">Model Selection</w:t>
      </w:r>
    </w:p>
    <w:p>
      <w:pPr>
        <w:pStyle w:val="BodyText"/>
        <w:ind w:left="360" w:hanging="220"/>
        <w:spacing w:after="45"/>
      </w:pPr>
      <w:r>
        <w:t xml:space="preserve">6. </w:t>
      </w:r>
      <w:r>
        <w:t xml:space="preserve">Model Architecture</w:t>
      </w:r>
    </w:p>
    <w:p>
      <w:pPr>
        <w:pStyle w:val="BodyText"/>
        <w:ind w:left="360" w:hanging="220"/>
        <w:spacing w:after="45"/>
      </w:pPr>
      <w:r>
        <w:t xml:space="preserve">7. </w:t>
      </w:r>
      <w:r>
        <w:t xml:space="preserve">Data Cleaning and Input Preprocessing</w:t>
      </w:r>
    </w:p>
    <w:p>
      <w:pPr>
        <w:pStyle w:val="BodyText"/>
        <w:ind w:left="360" w:hanging="220"/>
        <w:spacing w:after="45"/>
      </w:pPr>
      <w:r>
        <w:t xml:space="preserve">8. </w:t>
      </w:r>
      <w:r>
        <w:t xml:space="preserve">Training Strategy</w:t>
      </w:r>
    </w:p>
    <w:p>
      <w:pPr>
        <w:pStyle w:val="BodyText"/>
        <w:ind w:left="360" w:hanging="220"/>
        <w:spacing w:after="45"/>
      </w:pPr>
      <w:r>
        <w:t xml:space="preserve">9. </w:t>
      </w:r>
      <w:r>
        <w:t xml:space="preserve">Validation Strategy</w:t>
      </w:r>
    </w:p>
    <w:p>
      <w:pPr>
        <w:pStyle w:val="BodyText"/>
        <w:ind w:left="360" w:hanging="220"/>
        <w:spacing w:after="45"/>
      </w:pPr>
      <w:r>
        <w:t xml:space="preserve">10. </w:t>
      </w:r>
      <w:r>
        <w:t xml:space="preserve">Inference Strategy for Solution Routine</w:t>
      </w:r>
    </w:p>
    <w:p>
      <w:pPr>
        <w:pStyle w:val="BodyText"/>
        <w:ind w:left="360" w:hanging="220"/>
        <w:spacing w:after="45"/>
      </w:pPr>
      <w:r>
        <w:t xml:space="preserve">11. </w:t>
      </w:r>
      <w:r>
        <w:t xml:space="preserve">Inference Strategy for Explainability Routine</w:t>
      </w:r>
    </w:p>
    <w:p>
      <w:pPr>
        <w:pStyle w:val="BodyText"/>
        <w:ind w:left="360" w:hanging="220"/>
        <w:spacing w:after="45"/>
      </w:pPr>
      <w:r>
        <w:t xml:space="preserve">12. </w:t>
      </w:r>
      <w:r>
        <w:t xml:space="preserve">What worked and what did not work</w:t>
      </w:r>
    </w:p>
    <w:p>
      <w:pPr>
        <w:pStyle w:val="BodyText"/>
        <w:ind w:left="360" w:hanging="220"/>
        <w:spacing w:after="45"/>
      </w:pPr>
      <w:r>
        <w:t xml:space="preserve">13. </w:t>
      </w:r>
      <w:r>
        <w:t xml:space="preserve">Development environment specifications</w:t>
      </w:r>
    </w:p>
    <w:p>
      <w:pPr>
        <w:pStyle w:val="BodyText"/>
        <w:ind w:left="360" w:hanging="220"/>
        <w:spacing w:after="45"/>
      </w:pPr>
      <w:r>
        <w:t xml:space="preserve">14. </w:t>
      </w:r>
      <w:r>
        <w:t xml:space="preserve">Ablation Study</w:t>
      </w:r>
    </w:p>
    <w:p>
      <w:pPr>
        <w:pStyle w:val="Heading2"/>
        <w:spacing w:before="250" w:after="80"/>
      </w:pPr>
      <w:r>
        <w:t xml:space="preserve">1. Summary of the pipeline flow</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3000"/>
        <w:gridCol w:w="3000"/>
        <w:gridCol w:w="3000"/>
      </w:tblGrid>
      <w:tr>
        <w:trPr>
          <w:cantSplit/>
        </w:trPr>
        <w:tc>
          <w:tcPr>
            <w:tcW w:w="3000" w:type="dxa"/>
            <w:shd w:val="clear" w:color="auto" w:fill="EAF0F7"/>
          </w:tcPr>
          <w:p>
            <w:pPr>
              <w:pStyle w:val="Compact"/>
              <w:spacing w:after="20"/>
            </w:pPr>
            <w:r>
              <w:rPr>
                <w:b/>
                <w:bCs/>
              </w:rPr>
              <w:t xml:space="preserve">Stage</w:t>
            </w:r>
          </w:p>
        </w:tc>
        <w:tc>
          <w:tcPr>
            <w:tcW w:w="3000" w:type="dxa"/>
            <w:shd w:val="clear" w:color="auto" w:fill="EAF0F7"/>
          </w:tcPr>
          <w:p>
            <w:pPr>
              <w:pStyle w:val="Compact"/>
              <w:spacing w:after="20"/>
            </w:pPr>
            <w:r>
              <w:rPr>
                <w:b/>
                <w:bCs/>
              </w:rPr>
              <w:t xml:space="preserve">Purpose</w:t>
            </w:r>
          </w:p>
        </w:tc>
        <w:tc>
          <w:tcPr>
            <w:tcW w:w="3000" w:type="dxa"/>
            <w:shd w:val="clear" w:color="auto" w:fill="EAF0F7"/>
          </w:tcPr>
          <w:p>
            <w:pPr>
              <w:pStyle w:val="Compact"/>
              <w:spacing w:after="20"/>
            </w:pPr>
            <w:r>
              <w:rPr>
                <w:b/>
                <w:bCs/>
              </w:rPr>
              <w:t xml:space="preserve">Key evidence</w:t>
            </w:r>
          </w:p>
        </w:tc>
      </w:tr>
      <w:tr>
        <w:trPr>
          <w:cantSplit/>
        </w:trPr>
        <w:tc>
          <w:tcPr>
            <w:tcW w:w="3000" w:type="dxa"/>
          </w:tcPr>
          <w:p>
            <w:pPr>
              <w:pStyle w:val="Compact"/>
              <w:spacing w:after="20"/>
            </w:pPr>
            <w:r>
              <w:rPr>
                <w:b/>
                <w:bCs/>
              </w:rPr>
              <w:t xml:space="preserve">Normalize</w:t>
            </w:r>
          </w:p>
        </w:tc>
        <w:tc>
          <w:tcPr>
            <w:tcW w:w="3000" w:type="dxa"/>
          </w:tcPr>
          <w:p>
            <w:pPr>
              <w:pStyle w:val="Compact"/>
              <w:spacing w:after="20"/>
            </w:pPr>
            <w:r>
              <w:t xml:space="preserve">Remove export-specific label shortcuts and low-value attribute text.</w:t>
            </w:r>
          </w:p>
        </w:tc>
        <w:tc>
          <w:tcPr>
            <w:tcW w:w="3000" w:type="dxa"/>
          </w:tcPr>
          <w:p>
            <w:pPr>
              <w:pStyle w:val="Compact"/>
              <w:spacing w:after="20"/>
            </w:pPr>
            <w:r>
              <w:t xml:space="preserve">Leak-marker coverage fell from 46.9% to 0.45%; cleaning removed 15-17% of tokens and improved quality.</w:t>
            </w:r>
          </w:p>
        </w:tc>
      </w:tr>
      <w:tr>
        <w:trPr>
          <w:cantSplit/>
        </w:trPr>
        <w:tc>
          <w:tcPr>
            <w:tcW w:w="3000" w:type="dxa"/>
          </w:tcPr>
          <w:p>
            <w:pPr>
              <w:pStyle w:val="Compact"/>
              <w:spacing w:after="20"/>
            </w:pPr>
            <w:r>
              <w:rPr>
                <w:b/>
                <w:bCs/>
              </w:rPr>
              <w:t xml:space="preserve">Create the missing class</w:t>
            </w:r>
          </w:p>
        </w:tc>
        <w:tc>
          <w:tcPr>
            <w:tcW w:w="3000" w:type="dxa"/>
          </w:tcPr>
          <w:p>
            <w:pPr>
              <w:pStyle w:val="Compact"/>
              <w:spacing w:after="20"/>
            </w:pPr>
            <w:r>
              <w:t xml:space="preserve">Mine candidate negatives, match the organizer profile, label every candidate with a validated judge, then audit the result.</w:t>
            </w:r>
          </w:p>
        </w:tc>
        <w:tc>
          <w:tcPr>
            <w:tcW w:w="3000" w:type="dxa"/>
          </w:tcPr>
          <w:p>
            <w:pPr>
              <w:pStyle w:val="Compact"/>
              <w:spacing w:after="20"/>
            </w:pPr>
            <w:r>
              <w:t>Frozen-set precision 0.987 in a blind cross-model audit. Judge-corrected semi/relevant extras added +0.0224 macro-F1.</w:t>
            </w:r>
          </w:p>
        </w:tc>
      </w:tr>
      <w:tr>
        <w:trPr>
          <w:cantSplit/>
        </w:trPr>
        <w:tc>
          <w:tcPr>
            <w:tcW w:w="3000" w:type="dxa"/>
          </w:tcPr>
          <w:p>
            <w:pPr>
              <w:pStyle w:val="Compact"/>
              <w:spacing w:after="20"/>
            </w:pPr>
            <w:r>
              <w:rPr>
                <w:b/>
                <w:bCs/>
              </w:rPr>
              <w:t xml:space="preserve">Train and decide</w:t>
            </w:r>
          </w:p>
        </w:tc>
        <w:tc>
          <w:tcPr>
            <w:tcW w:w="3000" w:type="dxa"/>
          </w:tcPr>
          <w:p>
            <w:pPr>
              <w:pStyle w:val="Compact"/>
              <w:spacing w:after="20"/>
            </w:pPr>
            <w:r>
              <w:t xml:space="preserve">Fine-tune BERTurk as a three-class cross-encoder. Convert probabilities to an ordinal score and apply two fixed thresholds.</w:t>
            </w:r>
          </w:p>
        </w:tc>
        <w:tc>
          <w:tcPr>
            <w:tcW w:w="3000" w:type="dxa"/>
          </w:tcPr>
          <w:p>
            <w:pPr>
              <w:pStyle w:val="Compact"/>
              <w:spacing w:after="20"/>
            </w:pPr>
            <w:r>
              <w:t>DEV OOF macro-F1: 0.8546. Public macro-F1: 0.8579.</w:t>
            </w:r>
          </w:p>
        </w:tc>
      </w:tr>
      <w:tr>
        <w:trPr>
          <w:cantSplit/>
        </w:trPr>
        <w:tc>
          <w:tcPr>
            <w:tcW w:w="3000" w:type="dxa"/>
          </w:tcPr>
          <w:p>
            <w:pPr>
              <w:pStyle w:val="Compact"/>
              <w:spacing w:after="20"/>
            </w:pPr>
            <w:r>
              <w:rPr>
                <w:b/>
                <w:bCs/>
              </w:rPr>
              <w:t xml:space="preserve">Serve and explain</w:t>
            </w:r>
          </w:p>
        </w:tc>
        <w:tc>
          <w:tcPr>
            <w:tcW w:w="3000" w:type="dxa"/>
          </w:tcPr>
          <w:p>
            <w:pPr>
              <w:pStyle w:val="Compact"/>
              <w:spacing w:after="20"/>
            </w:pPr>
            <w:r>
              <w:t xml:space="preserve">Run optimized offline inference or a model-grounded explanation UI from the same image.</w:t>
            </w:r>
          </w:p>
        </w:tc>
        <w:tc>
          <w:tcPr>
            <w:tcW w:w="3000" w:type="dxa"/>
          </w:tcPr>
          <w:p>
            <w:pPr>
              <w:pStyle w:val="Compact"/>
              <w:spacing w:after="20"/>
            </w:pPr>
            <w:r>
              <w:t xml:space="preserve">About 20 s for 90K rows; no LLM or external request at inference.</w:t>
            </w:r>
          </w:p>
        </w:tc>
      </w:tr>
    </w:tbl>
    <w:p>
      <w:pPr>
        <w:pStyle w:val="BodyText"/>
        <w:spacing w:after="70"/>
      </w:pPr>
      <w:r>
        <w:t xml:space="preserve">The solution's largest gains did not come from a larger network. They came from understanding the data defect, removing token-heavy noise, constructing the missing class in the organizer's distribution, and keeping the judge's boundary corrections. The final model was selected only after those data decisions were frozen.</w:t>
      </w:r>
    </w:p>
    <w:p>
      <w:pPr>
        <w:pStyle w:val="Heading2"/>
        <w:spacing w:before="250" w:after="80"/>
      </w:pPr>
      <w:r>
        <w:t>2. EDA and key findings regarding the data</w:t>
      </w:r>
    </w:p>
    <w:p>
      <w:pPr>
        <w:pStyle w:val="BodyText"/>
        <w:spacing w:after="70"/>
      </w:pPr>
      <w:r>
        <w:rPr>
          <w:b/>
          <w:bCs/>
        </w:rPr>
        <w:t xml:space="preserve">Finding 1: training contains a two-export label leak.</w:t>
      </w:r>
      <w:r>
        <w:t xml:space="preserve"> The 500,000 training rows appear to combine two catalogue exports, and export membership is strongly associated with the training label. The public set is drawn from the newer format, where the same markers are absent or unrelated to the label. A model trained on raw text can therefore learn a near-perfect training shortcut that does not transfer.</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3000"/>
        <w:gridCol w:w="3000"/>
        <w:gridCol w:w="3000"/>
      </w:tblGrid>
      <w:tr>
        <w:trPr>
          <w:cantSplit/>
        </w:trPr>
        <w:tc>
          <w:tcPr>
            <w:tcW w:w="3000" w:type="dxa"/>
            <w:shd w:val="clear" w:color="auto" w:fill="EAF0F7"/>
          </w:tcPr>
          <w:p>
            <w:pPr>
              <w:pStyle w:val="Compact"/>
              <w:spacing w:after="20"/>
            </w:pPr>
            <w:r>
              <w:rPr>
                <w:b/>
                <w:bCs/>
              </w:rPr>
              <w:t xml:space="preserve">Observed marker</w:t>
            </w:r>
          </w:p>
        </w:tc>
        <w:tc>
          <w:tcPr>
            <w:tcW w:w="3000" w:type="dxa"/>
            <w:shd w:val="clear" w:color="auto" w:fill="EAF0F7"/>
          </w:tcPr>
          <w:p>
            <w:pPr>
              <w:pStyle w:val="Compact"/>
              <w:spacing w:after="20"/>
            </w:pPr>
            <w:r>
              <w:rPr>
                <w:b/>
                <w:bCs/>
              </w:rPr>
              <w:t xml:space="preserve">Train evidence</w:t>
            </w:r>
          </w:p>
        </w:tc>
        <w:tc>
          <w:tcPr>
            <w:tcW w:w="3000" w:type="dxa"/>
            <w:shd w:val="clear" w:color="auto" w:fill="EAF0F7"/>
          </w:tcPr>
          <w:p>
            <w:pPr>
              <w:pStyle w:val="Compact"/>
              <w:spacing w:after="20"/>
            </w:pPr>
            <w:r>
              <w:rPr>
                <w:b/>
                <w:bCs/>
              </w:rPr>
              <w:t xml:space="preserve">Public evidence</w:t>
            </w:r>
          </w:p>
        </w:tc>
      </w:tr>
      <w:tr>
        <w:trPr>
          <w:cantSplit/>
        </w:trPr>
        <w:tc>
          <w:tcPr>
            <w:tcW w:w="3000" w:type="dxa"/>
          </w:tcPr>
          <w:p>
            <w:pPr>
              <w:pStyle w:val="Compact"/>
              <w:spacing w:after="20"/>
            </w:pPr>
            <w:r>
              <w:rPr>
                <w:rFonts w:ascii="Menlo" w:hAnsi="Menlo" w:cs="Menlo"/>
                <w:sz w:val="18"/>
                <w:szCs w:val="18"/>
              </w:rPr>
              <w:t xml:space="preserve">color detail</w:t>
            </w:r>
            <w:r>
              <w:t xml:space="preserve"> attribute key</w:t>
            </w:r>
          </w:p>
        </w:tc>
        <w:tc>
          <w:tcPr>
            <w:tcW w:w="3000" w:type="dxa"/>
          </w:tcPr>
          <w:p>
            <w:pPr>
              <w:pStyle w:val="Compact"/>
              <w:spacing w:after="20"/>
            </w:pPr>
            <w:r>
              <w:t xml:space="preserve">196,763 rows; all relevant</w:t>
            </w:r>
          </w:p>
        </w:tc>
        <w:tc>
          <w:tcPr>
            <w:tcW w:w="3000" w:type="dxa"/>
          </w:tcPr>
          <w:p>
            <w:pPr>
              <w:pStyle w:val="Compact"/>
              <w:spacing w:after="20"/>
            </w:pPr>
            <w:r>
              <w:t xml:space="preserve">Absent</w:t>
            </w:r>
          </w:p>
        </w:tc>
      </w:tr>
      <w:tr>
        <w:trPr>
          <w:cantSplit/>
        </w:trPr>
        <w:tc>
          <w:tcPr>
            <w:tcW w:w="3000" w:type="dxa"/>
          </w:tcPr>
          <w:p>
            <w:pPr>
              <w:pStyle w:val="Compact"/>
              <w:spacing w:after="20"/>
            </w:pPr>
            <w:r>
              <w:rPr>
                <w:rFonts w:ascii="Menlo" w:hAnsi="Menlo" w:cs="Menlo"/>
                <w:sz w:val="18"/>
                <w:szCs w:val="18"/>
              </w:rPr>
              <w:t xml:space="preserve">gender = unisex</w:t>
            </w:r>
          </w:p>
        </w:tc>
        <w:tc>
          <w:tcPr>
            <w:tcW w:w="3000" w:type="dxa"/>
          </w:tcPr>
          <w:p>
            <w:pPr>
              <w:pStyle w:val="Compact"/>
              <w:spacing w:after="20"/>
            </w:pPr>
            <w:r>
              <w:t xml:space="preserve">22,518 rows; 99.99% relevant</w:t>
            </w:r>
          </w:p>
        </w:tc>
        <w:tc>
          <w:tcPr>
            <w:tcW w:w="3000" w:type="dxa"/>
          </w:tcPr>
          <w:p>
            <w:pPr>
              <w:pStyle w:val="Compact"/>
              <w:spacing w:after="20"/>
            </w:pPr>
            <w:r>
              <w:t xml:space="preserve">Absent</w:t>
            </w:r>
          </w:p>
        </w:tc>
      </w:tr>
      <w:tr>
        <w:trPr>
          <w:cantSplit/>
        </w:trPr>
        <w:tc>
          <w:tcPr>
            <w:tcW w:w="3000" w:type="dxa"/>
          </w:tcPr>
          <w:p>
            <w:pPr>
              <w:pStyle w:val="Compact"/>
              <w:spacing w:after="20"/>
            </w:pPr>
            <w:r>
              <w:rPr>
                <w:rFonts w:ascii="Menlo" w:hAnsi="Menlo" w:cs="Menlo"/>
                <w:sz w:val="18"/>
                <w:szCs w:val="18"/>
              </w:rPr>
              <w:t xml:space="preserve">gender = çocuk</w:t>
            </w:r>
          </w:p>
        </w:tc>
        <w:tc>
          <w:tcPr>
            <w:tcW w:w="3000" w:type="dxa"/>
          </w:tcPr>
          <w:p>
            <w:pPr>
              <w:pStyle w:val="Compact"/>
              <w:spacing w:after="20"/>
            </w:pPr>
            <w:r>
              <w:t xml:space="preserve">16,634 rows; all semi-relevant</w:t>
            </w:r>
          </w:p>
        </w:tc>
        <w:tc>
          <w:tcPr>
            <w:tcW w:w="3000" w:type="dxa"/>
          </w:tcPr>
          <w:p>
            <w:pPr>
              <w:pStyle w:val="Compact"/>
              <w:spacing w:after="20"/>
            </w:pPr>
            <w:r>
              <w:t xml:space="preserve">664 rows; 43% irrelevant, 30% relevant, 27% semi-relevant</w:t>
            </w:r>
          </w:p>
        </w:tc>
      </w:tr>
      <w:tr>
        <w:trPr>
          <w:cantSplit/>
        </w:trPr>
        <w:tc>
          <w:tcPr>
            <w:tcW w:w="3000" w:type="dxa"/>
          </w:tcPr>
          <w:p>
            <w:pPr>
              <w:pStyle w:val="Compact"/>
              <w:spacing w:after="20"/>
            </w:pPr>
            <w:r>
              <w:t xml:space="preserve">Lowercase Turkish </w:t>
            </w:r>
            <w:r>
              <w:rPr>
                <w:rFonts w:ascii="Menlo" w:hAnsi="Menlo" w:cs="Menlo"/>
                <w:sz w:val="18"/>
                <w:szCs w:val="18"/>
              </w:rPr>
              <w:t xml:space="preserve">İ</w:t>
            </w:r>
            <w:r>
              <w:t xml:space="preserve"> encoded as </w:t>
            </w:r>
            <w:r>
              <w:rPr>
                <w:rFonts w:ascii="Menlo" w:hAnsi="Menlo" w:cs="Menlo"/>
                <w:sz w:val="18"/>
                <w:szCs w:val="18"/>
              </w:rPr>
              <w:t xml:space="preserve">i</w:t>
            </w:r>
            <w:r>
              <w:t xml:space="preserve"> plus an extra Unicode dot in title</w:t>
            </w:r>
          </w:p>
        </w:tc>
        <w:tc>
          <w:tcPr>
            <w:tcW w:w="3000" w:type="dxa"/>
          </w:tcPr>
          <w:p>
            <w:pPr>
              <w:pStyle w:val="Compact"/>
              <w:spacing w:after="20"/>
            </w:pPr>
            <w:r>
              <w:t xml:space="preserve">32,822 rows; all semi-relevant</w:t>
            </w:r>
          </w:p>
        </w:tc>
        <w:tc>
          <w:tcPr>
            <w:tcW w:w="3000" w:type="dxa"/>
          </w:tcPr>
          <w:p>
            <w:pPr>
              <w:pStyle w:val="Compact"/>
              <w:spacing w:after="20"/>
            </w:pPr>
            <w:r>
              <w:t xml:space="preserve">1,110 rows; not class-specific</w:t>
            </w:r>
          </w:p>
        </w:tc>
      </w:tr>
      <w:tr>
        <w:trPr>
          <w:cantSplit/>
        </w:trPr>
        <w:tc>
          <w:tcPr>
            <w:tcW w:w="3000" w:type="dxa"/>
          </w:tcPr>
          <w:p>
            <w:pPr>
              <w:pStyle w:val="Compact"/>
              <w:spacing w:after="20"/>
            </w:pPr>
            <w:r>
              <w:t xml:space="preserve">Empty attributes</w:t>
            </w:r>
          </w:p>
        </w:tc>
        <w:tc>
          <w:tcPr>
            <w:tcW w:w="3000" w:type="dxa"/>
          </w:tcPr>
          <w:p>
            <w:pPr>
              <w:pStyle w:val="Compact"/>
              <w:spacing w:after="20"/>
            </w:pPr>
            <w:r>
              <w:t xml:space="preserve">2,247 rows; all semi-relevant</w:t>
            </w:r>
          </w:p>
        </w:tc>
        <w:tc>
          <w:tcPr>
            <w:tcW w:w="3000" w:type="dxa"/>
          </w:tcPr>
          <w:p>
            <w:pPr>
              <w:pStyle w:val="Compact"/>
              <w:spacing w:after="20"/>
            </w:pPr>
            <w:r>
              <w:t xml:space="preserve">85 rows; not class-specific</w:t>
            </w:r>
          </w:p>
        </w:tc>
      </w:tr>
    </w:tbl>
    <w:p>
      <w:pPr>
        <w:pStyle w:val="BodyText"/>
        <w:spacing w:after="70"/>
      </w:pPr>
      <w:r>
        <w:t xml:space="preserve">The title marker came from inconsistent lowercasing of Turkish </w:t>
      </w:r>
      <w:r>
        <w:rPr>
          <w:rFonts w:ascii="Menlo" w:hAnsi="Menlo" w:cs="Menlo"/>
          <w:sz w:val="18"/>
          <w:szCs w:val="18"/>
        </w:rPr>
        <w:t xml:space="preserve">İ</w:t>
      </w:r>
      <w:r>
        <w:t xml:space="preserve">. Some rows stored the visually similar lowercase form as two Unicode characters, </w:t>
      </w:r>
      <w:r>
        <w:rPr>
          <w:rFonts w:ascii="Menlo" w:hAnsi="Menlo" w:cs="Menlo"/>
          <w:sz w:val="18"/>
          <w:szCs w:val="18"/>
        </w:rPr>
        <w:t xml:space="preserve">i</w:t>
      </w:r>
      <w:r>
        <w:t xml:space="preserve"> followed by a separate dot, while other rows used a normal </w:t>
      </w:r>
      <w:r>
        <w:rPr>
          <w:rFonts w:ascii="Menlo" w:hAnsi="Menlo" w:cs="Menlo"/>
          <w:sz w:val="18"/>
          <w:szCs w:val="18"/>
        </w:rPr>
        <w:t xml:space="preserve">i</w:t>
      </w:r>
      <w:r>
        <w:t xml:space="preserve">. The two forms look almost identical but produce different bytes and tokenizer inputs.</w:t>
      </w:r>
    </w:p>
    <w:p>
      <w:pPr>
        <w:pStyle w:val="BodyText"/>
        <w:spacing w:after="70"/>
      </w:pPr>
      <w:r>
        <w:t xml:space="preserve">At least one export marker appears in 46.9% of train rows. A two-rule oracle classified 60.8% of raw training data at essentially 100% accuracy. Our normalization reduced marker coverage from 46.89% to 0.45%, and reduced the metadata adversarial generalization gap from 0.444 to 0.176. The overlooked </w:t>
      </w:r>
      <w:r>
        <w:rPr>
          <w:rFonts w:ascii="Menlo" w:hAnsi="Menlo" w:cs="Menlo"/>
          <w:sz w:val="18"/>
          <w:szCs w:val="18"/>
        </w:rPr>
        <w:t xml:space="preserve">gender = çocuk</w:t>
      </w:r>
      <w:r>
        <w:t xml:space="preserve"> marker alone created a 19-point accuracy deficit on the affected public rows. Mapping it to </w:t>
      </w:r>
      <w:r>
        <w:rPr>
          <w:rFonts w:ascii="Menlo" w:hAnsi="Menlo" w:cs="Menlo"/>
          <w:sz w:val="18"/>
          <w:szCs w:val="18"/>
        </w:rPr>
        <w:t xml:space="preserve">unknown</w:t>
      </w:r>
      <w:r>
        <w:t xml:space="preserve"> and retraining improved the submitted BERTurk model by +0.0118 DEV macro-F1. The gain repeated across every tested backbone, which made this the strongest causal EDA finding.</w:t>
      </w:r>
    </w:p>
    <w:p>
      <w:pPr>
        <w:pStyle w:val="BodyText"/>
        <w:spacing w:after="70"/>
      </w:pPr>
      <w:r>
        <w:rPr>
          <w:b/>
          <w:bCs/>
        </w:rPr>
        <w:t xml:space="preserve">Finding 2: attribute noise harmed both quality and speed.</w:t>
      </w:r>
      <w:r>
        <w:t xml:space="preserve"> Boilerplate keys such as origin, care, warranty, packaging, and legal text consumed tokens but rarely matched query intent. Our attribute cleaning has two versions: v1 drops only the 18 leaked keys; v2 additionally drops 42 boilerplate keys and uninformative values and merges empty attributes into one sentinel, and v2 is what the submitted model uses. Attribute cleaning v2 removed 34% of attribute characters and 15-17% of model tokens. In the direct paired experiment, macro-F1 rose from 0.7994 to 0.8149, a +0.0155 gain, while sequence lengths and inference work fell. The final TY-ecomm data ladder separately measured +0.0068 from the same v2 change.</w:t>
      </w:r>
    </w:p>
    <w:p>
      <w:pPr>
        <w:pStyle w:val="BodyText"/>
        <w:spacing w:after="70"/>
      </w:pPr>
      <w:r>
        <w:rPr>
          <w:b/>
          <w:bCs/>
        </w:rPr>
        <w:t xml:space="preserve">Finding 3: the difficult boundary is semi-relevant versus irrelevant.</w:t>
      </w:r>
      <w:r>
        <w:t xml:space="preserve"> The organizer's irrelevant rows are not simply random products. The common pattern is a missing or incorrect head product while some modifiers still match. Among public irrelevant rows, 63% share no title word with the query, yet a high-overlap slice also exists where lexical models fail: irrelevant F1 falls to 0.406 when 75-100% of query tokens are covered. This evidence led us to combine rule recipes with retrieval near-misses and to require judge labeling instead of trusting mining rules.</w:t>
      </w:r>
    </w:p>
    <w:p>
      <w:pPr>
        <w:pStyle w:val="BodyText"/>
        <w:spacing w:after="70"/>
      </w:pPr>
      <w:r>
        <w:rPr>
          <w:b/>
          <w:bCs/>
        </w:rPr>
        <w:t xml:space="preserve">Finding 4: train and test differ materially.</w:t>
      </w:r>
      <w:r>
        <w:t xml:space="preserve"> For relevant rows, the share of query tokens found in product text is 0.850 in train and 0.688 in public test. Clothing represents 12.5% of train queries but 31.8% of public queries. These shifts motivated query-disjoint validation, department-profile matching for generated negatives, and rejection of train-only priors.</w:t>
      </w:r>
    </w:p>
    <w:p>
      <w:pPr>
        <w:pStyle w:val="BodyText"/>
        <w:spacing w:after="70"/>
      </w:pPr>
      <w:r>
        <w:rPr>
          <w:b/>
          <w:bCs/>
        </w:rPr>
        <w:t xml:space="preserve">Finding 5: relevance is ordinal, but category-specific calibration did not transfer reliably.</w:t>
      </w:r>
      <w:r>
        <w:t xml:space="preserve"> With the Stage 1 12B reference used zero-shot, one scalar plus two thresholds improved macro-F1 from 0.7083 to 0.7259. Compatibility verticals such as electronics and automotive had a semi-relevant band about 3.1 times wider than clothing, but per-regime cuts were slightly worse than global cuts on the submitted checkpoint, 0.8506 versus 0.8533 OOF. We kept one global, row-independent decision rule.</w:t>
      </w:r>
    </w:p>
    <w:p>
      <w:pPr>
        <w:pStyle w:val="Heading2"/>
        <w:spacing w:before="250" w:after="80"/>
      </w:pPr>
      <w:r>
        <w:t>3. Negative sampling process</w:t>
      </w:r>
    </w:p>
    <w:p>
      <w:pPr>
        <w:pStyle w:val="BodyText"/>
        <w:spacing w:after="70"/>
      </w:pPr>
      <w:r>
        <w:t xml:space="preserve">Organizer training contains no irrelevant class, so negative construction was a core learning problem rather than a preprocessing detail. We separated the process into generation, distribution control, labeling, and audit.</w:t>
      </w:r>
    </w:p>
    <w:p>
      <w:pPr>
        <w:pStyle w:val="Heading3"/>
        <w:spacing w:before="140" w:after="50"/>
      </w:pPr>
      <w:r>
        <w:t xml:space="preserve">Candidate generation</w:t>
      </w:r>
    </w:p>
    <w:p>
      <w:pPr>
        <w:pStyle w:val="BodyText"/>
        <w:spacing w:after="70"/>
      </w:pPr>
      <w:r>
        <w:t xml:space="preserve">Ten seeded rule families created brand swaps, product-type swaps within a department, distant colours, wrong device models, wrong sizes or counts, wrong accessories, wrong entities, lexical traps, distant random pairs, and modifier-stripped queries. A TF-IDF near-miss retriever searched the top 80 products using title, category, and brand, then removed the query's known relevant or semi-relevant products and forbidden leaf categories. Public queries were excluded. Candidates were deduplicated across recipes.</w:t>
      </w:r>
    </w:p>
    <w:p>
      <w:pPr>
        <w:pStyle w:val="Heading3"/>
        <w:spacing w:before="140" w:after="50"/>
      </w:pPr>
      <w:r>
        <w:t xml:space="preserve">Selection and distribution gates</w:t>
      </w:r>
    </w:p>
    <w:p>
      <w:pPr>
        <w:pStyle w:val="BodyText"/>
        <w:spacing w:after="70"/>
      </w:pPr>
      <w:r>
        <w:t xml:space="preserve">Selection used per-query limits, a global per-item cap of three, department quotas, and a fashion share matched to DEV irrelevant rows. Before labeling, every pool had to pass:</w:t>
      </w:r>
    </w:p>
    <w:p>
      <w:pPr>
        <w:pStyle w:val="BodyText"/>
        <w:ind w:left="360" w:hanging="220"/>
        <w:spacing w:after="45"/>
      </w:pPr>
      <w:r>
        <w:t xml:space="preserve">• </w:t>
      </w:r>
      <w:r>
        <w:rPr>
          <w:b/>
          <w:bCs/>
        </w:rPr>
        <w:t xml:space="preserve">Adversarial similarity:</w:t>
      </w:r>
      <w:r>
        <w:t xml:space="preserve"> a probe tried to separate generated irrelevant rows from organizer irrelevant rows. Rule-only mining scored 0.798 AUC; retrieval reduced it to 0.756; fashion and department matching reduced it to 0.728. After judging and frozen re-selection, the final AUC was 0.7185. Lower is better. The organizer train-to-DEV reference was 0.748 and our pre-registered acceptance ceiling was 0.768.</w:t>
      </w:r>
    </w:p>
    <w:p>
      <w:pPr>
        <w:pStyle w:val="BodyText"/>
        <w:ind w:left="360" w:hanging="220"/>
        <w:spacing w:after="45"/>
      </w:pPr>
      <w:r>
        <w:t xml:space="preserve">• </w:t>
      </w:r>
      <w:r>
        <w:rPr>
          <w:b/>
          <w:bCs/>
        </w:rPr>
        <w:t xml:space="preserve">Difficulty profile:</w:t>
      </w:r>
      <w:r>
        <w:t xml:space="preserve"> the positive-margin fraction from the Stage 1 12B reference had to remain within 0.18-0.28. The accepted pool scored 0.186, with median margin -1.5 versus -1.0 on DEV irrelevant rows.</w:t>
      </w:r>
    </w:p>
    <w:p>
      <w:pPr>
        <w:pStyle w:val="BodyText"/>
        <w:ind w:left="360" w:hanging="220"/>
        <w:spacing w:after="45"/>
      </w:pPr>
      <w:r>
        <w:t xml:space="preserve">• </w:t>
      </w:r>
      <w:r>
        <w:rPr>
          <w:b/>
          <w:bCs/>
        </w:rPr>
        <w:t xml:space="preserve">Hygiene:</w:t>
      </w:r>
      <w:r>
        <w:t xml:space="preserve"> zero train-pair duplicates, zero public-query overlap, recipe coverage, query and item caps, and fixed manifests with checksums.</w:t>
      </w:r>
    </w:p>
    <w:p>
      <w:pPr>
        <w:pStyle w:val="Heading3"/>
        <w:spacing w:before="140" w:after="50"/>
      </w:pPr>
      <w:r>
        <w:t xml:space="preserve">Judge selection, labeling, and audit</w:t>
      </w:r>
    </w:p>
    <w:p>
      <w:pPr>
        <w:pStyle w:val="BodyText"/>
        <w:spacing w:after="70"/>
      </w:pPr>
      <w:r>
        <w:t>Eight LLM judges, each given the same written relevance rubric, were compared on the same stratified 1,200-row DEV sample against the organizer's labels. Gemini 3.7 Flash achieved 0.9238 macro-F1, with a 95% confidence interval of 0.9073-0.9377; the runner-up scored 0.8795. Production used a 20,000-row canary with a pre-registered retention requirement of at least 0.85 before the remaining calls were allowed.</w:t>
      </w:r>
    </w:p>
    <w:p>
      <w:pPr>
        <w:pStyle w:val="BodyText"/>
        <w:spacing w:after="70"/>
      </w:pPr>
      <w:r>
        <w:t xml:space="preserve">The final production round returned 152,425 irrelevant, 17,590 semi-relevant, and 12,778 relevant labels. Rule recipes retained 89-100% irrelevant rows; the deliberately broad modifier-stripping and retrieval recipes retained 62-66%, proving that they were contributing boundary examples rather than easy negatives.</w:t>
      </w:r>
    </w:p>
    <w:p>
      <w:pPr>
        <w:pStyle w:val="BodyText"/>
        <w:spacing w:after="70"/>
      </w:pPr>
      <w:r>
        <w:t>Post-judge re-selection froze 145,848 irrelevant rows and 6,577 judged reserves. We then ran a blind cross-model audit on 300 frozen query-product pairs: three independent Claude (Anthropic) reader agents labeled the same pairs from the relevance rubric alone, seeing neither the mining recipe, nor the judge's output, nor each other. The three readers agreed on 98.3% of the pairs; majority-vote precision for irrelevant was 0.987, every recipe exceeded 0.955, and no audited pair was reassigned as relevant. This is a second opinion from a different model family, not a human audit; the vote files ship in the development dump.</w:t>
      </w:r>
    </w:p>
    <w:p>
      <w:pPr>
        <w:pStyle w:val="BodyText"/>
        <w:spacing w:after="90"/>
        <w:shd w:val="clear" w:color="auto" w:fill="F3F7FB"/>
        <w:pBdr>
          <w:left w:val="single" w:sz="24" w:space="6" w:color="2E6BA6"/>
        </w:pBdr>
      </w:pPr>
      <w:r>
        <w:rPr>
          <w:b/>
          <w:bCs/>
        </w:rPr>
        <w:t xml:space="preserve">Most important labeling result.</w:t>
      </w:r>
      <w:r>
        <w:t xml:space="preserve"> The judge's semi-relevant and relevant outputs were not discarded. Adding 29,551 of these judged extras improved DEV OOF macro-F1 from 0.8217 to 0.8441, a +0.0224 gain, the largest single measured gain in the final data ladder; adding the earlier validated label store then raised the score to 0.8529, another +0.0088. We read the extras' effect as two things at once. They are boundary examples: pairs the mining rules expected to be irrelevant and the judge placed on the other side of the line. More importantly, they break a confound in the organizer's data. Every organizer relevant row comes from one catalogue export and every semi-relevant row from the other, so even after normalization a residual export signature, the part no attribute surgery could remove, still separated the two classes perfectly in training. The extras are relevant and semi-relevant rows that come from a single source through the same text pipeline as our irrelevant rows, so within them class and export are decoupled and the model has to learn relevance rather than provenance. The size of the gain for a roughly 4% addition to the training table supports that reading, although we did not run an ablation that isolates the two mechanisms.</w:t>
      </w:r>
    </w:p>
    <w:p>
      <w:pPr>
        <w:pStyle w:val="BodyText"/>
        <w:spacing w:after="70"/>
      </w:pPr>
      <w:r>
        <w:t xml:space="preserve">Earlier validated rounds were retained after the same checks. The submitted training table therefore contains 263,932 judged irrelevant rows and 50,963 judge-extra or controlled contrast rows in total. No rule-only label entered the final training set. As a control, applying rule labels to the same selected candidates stayed at 0.752 DEV macro-F1 with 0.72 true-irrelevant recall.</w:t>
      </w:r>
    </w:p>
    <w:p>
      <w:pPr>
        <w:pStyle w:val="BodyText"/>
        <w:spacing w:after="70"/>
      </w:pPr>
      <w:r>
        <w:rPr>
          <w:color w:val="526176"/>
          <w:sz w:val="18"/>
          <w:szCs w:val="18"/>
        </w:rPr>
        <w:t>Rejected approaches, each killed by measurement. Cosine-band mining drew candidates from bi-encoder similarity neighbourhoods, which is exactly where relevant and semi-relevant products live; the judge found only 6-21% of them irrelevant, so most of the labeling spend would have bought positives we already had. Confusion-band mining selected the pairs the 12B reference found hardest, which produced the opposite of the organizer's profile: their irrelevant rows are easy for a strong model, and the adversarial probe separated our set from theirs at AUC 0.9101. Importance re-weighting repaired that set to 0.6264, but a repaired distribution is still the wrong distribution, so the pipeline was redesigned around the organizer's profile instead. Finally, an early 61,800-row set carried rule-assigned irrelevant labels that had never been judged, with about 11% expected contamination; it was withdrawn when discovered. These failures established two policies: every generated training row must be judged, and the distribution gates must pass before any label is bought.</w:t>
      </w:r>
    </w:p>
    <w:p>
      <w:pPr>
        <w:pStyle w:val="Heading2"/>
        <w:spacing w:before="250" w:after="80"/>
      </w:pPr>
      <w:r>
        <w:t xml:space="preserve">4. All processes that can be considered as data generation</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3000"/>
        <w:gridCol w:w="3000"/>
        <w:gridCol w:w="3000"/>
      </w:tblGrid>
      <w:tr>
        <w:trPr>
          <w:cantSplit/>
        </w:trPr>
        <w:tc>
          <w:tcPr>
            <w:tcW w:w="3000" w:type="dxa"/>
            <w:shd w:val="clear" w:color="auto" w:fill="EAF0F7"/>
          </w:tcPr>
          <w:p>
            <w:pPr>
              <w:pStyle w:val="Compact"/>
              <w:spacing w:after="20"/>
            </w:pPr>
            <w:r>
              <w:rPr>
                <w:b/>
                <w:bCs/>
              </w:rPr>
              <w:t xml:space="preserve">Artifact</w:t>
            </w:r>
          </w:p>
        </w:tc>
        <w:tc>
          <w:tcPr>
            <w:tcW w:w="3000" w:type="dxa"/>
            <w:shd w:val="clear" w:color="auto" w:fill="EAF0F7"/>
          </w:tcPr>
          <w:p>
            <w:pPr>
              <w:pStyle w:val="Compact"/>
              <w:spacing w:after="20"/>
            </w:pPr>
            <w:r>
              <w:rPr>
                <w:b/>
                <w:bCs/>
              </w:rPr>
              <w:t xml:space="preserve">Method and role</w:t>
            </w:r>
          </w:p>
        </w:tc>
        <w:tc>
          <w:tcPr>
            <w:tcW w:w="3000" w:type="dxa"/>
            <w:shd w:val="clear" w:color="auto" w:fill="EAF0F7"/>
          </w:tcPr>
          <w:p>
            <w:pPr>
              <w:pStyle w:val="Compact"/>
              <w:spacing w:after="20"/>
            </w:pPr>
            <w:r>
              <w:rPr>
                <w:b/>
                <w:bCs/>
              </w:rPr>
              <w:t xml:space="preserve">Scale used in the final solution</w:t>
            </w:r>
          </w:p>
        </w:tc>
      </w:tr>
      <w:tr>
        <w:trPr>
          <w:cantSplit/>
        </w:trPr>
        <w:tc>
          <w:tcPr>
            <w:tcW w:w="3000" w:type="dxa"/>
          </w:tcPr>
          <w:p>
            <w:pPr>
              <w:pStyle w:val="Compact"/>
              <w:spacing w:after="20"/>
            </w:pPr>
            <w:r>
              <w:t xml:space="preserve">Normalized train and public inputs</w:t>
            </w:r>
          </w:p>
        </w:tc>
        <w:tc>
          <w:tcPr>
            <w:tcW w:w="3000" w:type="dxa"/>
          </w:tcPr>
          <w:p>
            <w:pPr>
              <w:pStyle w:val="Compact"/>
              <w:spacing w:after="20"/>
            </w:pPr>
            <w:r>
              <w:t xml:space="preserve">Deterministic Unicode, export, gender, and attribute cleanup.</w:t>
            </w:r>
          </w:p>
        </w:tc>
        <w:tc>
          <w:tcPr>
            <w:tcW w:w="3000" w:type="dxa"/>
          </w:tcPr>
          <w:p>
            <w:pPr>
              <w:pStyle w:val="Compact"/>
              <w:spacing w:after="20"/>
            </w:pPr>
            <w:r>
              <w:t xml:space="preserve">500,000 train rows and 7,500 public rows; the same transform serves private rows.</w:t>
            </w:r>
          </w:p>
        </w:tc>
      </w:tr>
      <w:tr>
        <w:trPr>
          <w:cantSplit/>
        </w:trPr>
        <w:tc>
          <w:tcPr>
            <w:tcW w:w="3000" w:type="dxa"/>
          </w:tcPr>
          <w:p>
            <w:pPr>
              <w:pStyle w:val="Compact"/>
              <w:spacing w:after="20"/>
            </w:pPr>
            <w:r>
              <w:t xml:space="preserve">Candidate pools</w:t>
            </w:r>
          </w:p>
        </w:tc>
        <w:tc>
          <w:tcPr>
            <w:tcW w:w="3000" w:type="dxa"/>
          </w:tcPr>
          <w:p>
            <w:pPr>
              <w:pStyle w:val="Compact"/>
              <w:spacing w:after="20"/>
            </w:pPr>
            <w:r>
              <w:t xml:space="preserve">Ten rule recipes plus TF-IDF retrieval; seeded and deduplicated.</w:t>
            </w:r>
          </w:p>
        </w:tc>
        <w:tc>
          <w:tcPr>
            <w:tcW w:w="3000" w:type="dxa"/>
          </w:tcPr>
          <w:p>
            <w:pPr>
              <w:pStyle w:val="Compact"/>
              <w:spacing w:after="20"/>
            </w:pPr>
            <w:r>
              <w:t xml:space="preserve">Hundreds of thousands of candidates before gates.</w:t>
            </w:r>
          </w:p>
        </w:tc>
      </w:tr>
      <w:tr>
        <w:trPr>
          <w:cantSplit/>
        </w:trPr>
        <w:tc>
          <w:tcPr>
            <w:tcW w:w="3000" w:type="dxa"/>
          </w:tcPr>
          <w:p>
            <w:pPr>
              <w:pStyle w:val="Compact"/>
              <w:spacing w:after="20"/>
            </w:pPr>
            <w:r>
              <w:t xml:space="preserve">Judge labels</w:t>
            </w:r>
          </w:p>
        </w:tc>
        <w:tc>
          <w:tcPr>
            <w:tcW w:w="3000" w:type="dxa"/>
          </w:tcPr>
          <w:p>
            <w:pPr>
              <w:pStyle w:val="Compact"/>
              <w:spacing w:after="20"/>
            </w:pPr>
            <w:r>
              <w:t xml:space="preserve">Rubric-based LLM classification after a canary and distribution gates.</w:t>
            </w:r>
          </w:p>
        </w:tc>
        <w:tc>
          <w:tcPr>
            <w:tcW w:w="3000" w:type="dxa"/>
          </w:tcPr>
          <w:p>
            <w:pPr>
              <w:pStyle w:val="Compact"/>
              <w:spacing w:after="20"/>
            </w:pPr>
            <w:r>
              <w:t xml:space="preserve">Final round: 152,425 irrelevant, 17,590 semi-relevant, 12,778 relevant.</w:t>
            </w:r>
          </w:p>
        </w:tc>
      </w:tr>
      <w:tr>
        <w:trPr>
          <w:cantSplit/>
        </w:trPr>
        <w:tc>
          <w:tcPr>
            <w:tcW w:w="3000" w:type="dxa"/>
          </w:tcPr>
          <w:p>
            <w:pPr>
              <w:pStyle w:val="Compact"/>
              <w:spacing w:after="20"/>
            </w:pPr>
            <w:r>
              <w:t xml:space="preserve">Frozen irrelevant data</w:t>
            </w:r>
          </w:p>
        </w:tc>
        <w:tc>
          <w:tcPr>
            <w:tcW w:w="3000" w:type="dxa"/>
          </w:tcPr>
          <w:p>
            <w:pPr>
              <w:pStyle w:val="Compact"/>
              <w:spacing w:after="20"/>
            </w:pPr>
            <w:r>
              <w:t xml:space="preserve">Post-judge quota selection plus audited reserve.</w:t>
            </w:r>
          </w:p>
        </w:tc>
        <w:tc>
          <w:tcPr>
            <w:tcW w:w="3000" w:type="dxa"/>
          </w:tcPr>
          <w:p>
            <w:pPr>
              <w:pStyle w:val="Compact"/>
              <w:spacing w:after="20"/>
            </w:pPr>
            <w:r>
              <w:t xml:space="preserve">145,848 final and 6,577 reserve rows.</w:t>
            </w:r>
          </w:p>
        </w:tc>
      </w:tr>
      <w:tr>
        <w:trPr>
          <w:cantSplit/>
        </w:trPr>
        <w:tc>
          <w:tcPr>
            <w:tcW w:w="3000" w:type="dxa"/>
          </w:tcPr>
          <w:p>
            <w:pPr>
              <w:pStyle w:val="Compact"/>
              <w:spacing w:after="20"/>
            </w:pPr>
            <w:r>
              <w:t xml:space="preserve">Final training negatives</w:t>
            </w:r>
          </w:p>
        </w:tc>
        <w:tc>
          <w:tcPr>
            <w:tcW w:w="3000" w:type="dxa"/>
          </w:tcPr>
          <w:p>
            <w:pPr>
              <w:pStyle w:val="Compact"/>
              <w:spacing w:after="20"/>
            </w:pPr>
            <w:r>
              <w:t xml:space="preserve">Frozen round plus earlier validated label store.</w:t>
            </w:r>
          </w:p>
        </w:tc>
        <w:tc>
          <w:tcPr>
            <w:tcW w:w="3000" w:type="dxa"/>
          </w:tcPr>
          <w:p>
            <w:pPr>
              <w:pStyle w:val="Compact"/>
              <w:spacing w:after="20"/>
            </w:pPr>
            <w:r>
              <w:t xml:space="preserve">263,932 judged irrelevant rows.</w:t>
            </w:r>
          </w:p>
        </w:tc>
      </w:tr>
      <w:tr>
        <w:trPr>
          <w:cantSplit/>
        </w:trPr>
        <w:tc>
          <w:tcPr>
            <w:tcW w:w="3000" w:type="dxa"/>
          </w:tcPr>
          <w:p>
            <w:pPr>
              <w:pStyle w:val="Compact"/>
              <w:spacing w:after="20"/>
            </w:pPr>
            <w:r>
              <w:t xml:space="preserve">Judge extras and contrasts</w:t>
            </w:r>
          </w:p>
        </w:tc>
        <w:tc>
          <w:tcPr>
            <w:tcW w:w="3000" w:type="dxa"/>
          </w:tcPr>
          <w:p>
            <w:pPr>
              <w:pStyle w:val="Compact"/>
              <w:spacing w:after="20"/>
            </w:pPr>
            <w:r>
              <w:t xml:space="preserve">Judge-corrected semi/relevant examples plus controlled device-model contrasts.</w:t>
            </w:r>
          </w:p>
        </w:tc>
        <w:tc>
          <w:tcPr>
            <w:tcW w:w="3000" w:type="dxa"/>
          </w:tcPr>
          <w:p>
            <w:pPr>
              <w:pStyle w:val="Compact"/>
              <w:spacing w:after="20"/>
            </w:pPr>
            <w:r>
              <w:t xml:space="preserve">50,963 rows in the final training table, including 902 device contrasts.</w:t>
            </w:r>
          </w:p>
        </w:tc>
      </w:tr>
      <w:tr>
        <w:trPr>
          <w:cantSplit/>
        </w:trPr>
        <w:tc>
          <w:tcPr>
            <w:tcW w:w="3000" w:type="dxa"/>
          </w:tcPr>
          <w:p>
            <w:pPr>
              <w:pStyle w:val="Compact"/>
              <w:spacing w:after="20"/>
            </w:pPr>
            <w:r>
              <w:t xml:space="preserve">Validation split</w:t>
            </w:r>
          </w:p>
        </w:tc>
        <w:tc>
          <w:tcPr>
            <w:tcW w:w="3000" w:type="dxa"/>
          </w:tcPr>
          <w:p>
            <w:pPr>
              <w:pStyle w:val="Compact"/>
              <w:spacing w:after="20"/>
            </w:pPr>
            <w:r>
              <w:t xml:space="preserve">Seeded, query-disjoint DEV and HOLDOUT split with frozen checksum.</w:t>
            </w:r>
          </w:p>
        </w:tc>
        <w:tc>
          <w:tcPr>
            <w:tcW w:w="3000" w:type="dxa"/>
          </w:tcPr>
          <w:p>
            <w:pPr>
              <w:pStyle w:val="Compact"/>
              <w:spacing w:after="20"/>
            </w:pPr>
            <w:r>
              <w:t xml:space="preserve">3,750 rows each.</w:t>
            </w:r>
          </w:p>
        </w:tc>
      </w:tr>
      <w:tr>
        <w:trPr>
          <w:cantSplit/>
        </w:trPr>
        <w:tc>
          <w:tcPr>
            <w:tcW w:w="3000" w:type="dxa"/>
          </w:tcPr>
          <w:p>
            <w:pPr>
              <w:pStyle w:val="Compact"/>
              <w:spacing w:after="20"/>
            </w:pPr>
            <w:r>
              <w:t>Candidate difficulty scores</w:t>
            </w:r>
          </w:p>
        </w:tc>
        <w:tc>
          <w:tcPr>
            <w:tcW w:w="3000" w:type="dxa"/>
          </w:tcPr>
          <w:p>
            <w:pPr>
              <w:pStyle w:val="Compact"/>
              <w:spacing w:after="20"/>
            </w:pPr>
            <w:r>
              <w:t>Stage 1 12B model used zero-shot; its binary margin feeds the difficulty gate and the pool profile only, never a label.</w:t>
            </w:r>
          </w:p>
        </w:tc>
        <w:tc>
          <w:tcPr>
            <w:tcW w:w="3000" w:type="dxa"/>
          </w:tcPr>
          <w:p>
            <w:pPr>
              <w:pStyle w:val="Compact"/>
              <w:spacing w:after="20"/>
            </w:pPr>
            <w:r>
              <w:t>Whole candidate pool.</w:t>
            </w:r>
          </w:p>
        </w:tc>
      </w:tr>
      <w:tr>
        <w:trPr>
          <w:cantSplit/>
        </w:trPr>
        <w:tc>
          <w:tcPr>
            <w:tcW w:w="3000" w:type="dxa"/>
          </w:tcPr>
          <w:p>
            <w:pPr>
              <w:pStyle w:val="Compact"/>
              <w:spacing w:after="20"/>
            </w:pPr>
            <w:r>
              <w:t>Audit vote records</w:t>
            </w:r>
          </w:p>
        </w:tc>
        <w:tc>
          <w:tcPr>
            <w:tcW w:w="3000" w:type="dxa"/>
          </w:tcPr>
          <w:p>
            <w:pPr>
              <w:pStyle w:val="Compact"/>
              <w:spacing w:after="20"/>
            </w:pPr>
            <w:r>
              <w:t>Three blind Claude reader agents, rubric only, majority vote per pair.</w:t>
            </w:r>
          </w:p>
        </w:tc>
        <w:tc>
          <w:tcPr>
            <w:tcW w:w="3000" w:type="dxa"/>
          </w:tcPr>
          <w:p>
            <w:pPr>
              <w:pStyle w:val="Compact"/>
              <w:spacing w:after="20"/>
            </w:pPr>
            <w:r>
              <w:t>300 pairs, 900 votes.</w:t>
            </w:r>
          </w:p>
        </w:tc>
      </w:tr>
    </w:tbl>
    <w:p>
      <w:pPr>
        <w:pStyle w:val="BodyText"/>
        <w:spacing w:after="70"/>
      </w:pPr>
      <w:r>
        <w:t>The development dump includes the generated datasets, manifests, gates, preparation code, training and validation code, and experiment records. Gemini 3.7 Flash was used only during development for candidate labeling through OpenRouter. Anthropic Claude (Claude Code agents) was used, also during development only, as the three blind readers of the 300-row audit. Neither model generated a public or private prediction, and neither is present in the submitted image.</w:t>
      </w:r>
    </w:p>
    <w:p>
      <w:pPr>
        <w:pStyle w:val="Heading2"/>
        <w:spacing w:before="250" w:after="80"/>
      </w:pPr>
      <w:r>
        <w:t xml:space="preserve">5. Model Selection</w:t>
      </w:r>
    </w:p>
    <w:p>
      <w:pPr>
        <w:pStyle w:val="BodyText"/>
        <w:spacing w:after="70"/>
      </w:pPr>
      <w:r>
        <w:t>Backbones were compared with the same cleaned text, frozen training data, and query-disjoint DEV protocol. A difference below the 0.012 DEV noise floor did not declare a winner. Early experiments placed BERTurk-128k ahead of tybert, BERTurk-32k, and XLM-R. On the frozen data, Trendyol's TY-ecomm-embed-multilingual-base, an embedding model (GTE architecture) that we turned into a classifier by adding our own three-class head and fine-tuning end to end, achieved the highest quality, while BERTurk offered much higher throughput because of its efficient Turkish tokenization and smaller compute stack.</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2250"/>
        <w:gridCol w:w="2250"/>
        <w:gridCol w:w="2250"/>
        <w:gridCol w:w="2250"/>
      </w:tblGrid>
      <w:tr>
        <w:trPr>
          <w:cantSplit/>
        </w:trPr>
        <w:tc>
          <w:tcPr>
            <w:tcW w:w="2250" w:type="dxa"/>
            <w:shd w:val="clear" w:color="auto" w:fill="EAF0F7"/>
          </w:tcPr>
          <w:p>
            <w:pPr>
              <w:pStyle w:val="Compact"/>
              <w:spacing w:after="20"/>
            </w:pPr>
            <w:r>
              <w:rPr>
                <w:b/>
                <w:bCs/>
              </w:rPr>
              <w:t xml:space="preserve">Candidate</w:t>
            </w:r>
          </w:p>
        </w:tc>
        <w:tc>
          <w:tcPr>
            <w:tcW w:w="2250" w:type="dxa"/>
            <w:shd w:val="clear" w:color="auto" w:fill="EAF0F7"/>
          </w:tcPr>
          <w:p>
            <w:pPr>
              <w:pStyle w:val="Compact"/>
              <w:spacing w:after="20"/>
            </w:pPr>
            <w:r>
              <w:rPr>
                <w:b/>
                <w:bCs/>
              </w:rPr>
              <w:t xml:space="preserve">DEV OOF macro-F1</w:t>
            </w:r>
          </w:p>
        </w:tc>
        <w:tc>
          <w:tcPr>
            <w:tcW w:w="2250" w:type="dxa"/>
            <w:shd w:val="clear" w:color="auto" w:fill="EAF0F7"/>
          </w:tcPr>
          <w:p>
            <w:pPr>
              <w:pStyle w:val="Compact"/>
              <w:spacing w:after="20"/>
            </w:pPr>
            <w:r>
              <w:rPr>
                <w:b/>
                <w:bCs/>
              </w:rPr>
              <w:t xml:space="preserve">Public macro-F1</w:t>
            </w:r>
          </w:p>
        </w:tc>
        <w:tc>
          <w:tcPr>
            <w:tcW w:w="2250" w:type="dxa"/>
            <w:shd w:val="clear" w:color="auto" w:fill="EAF0F7"/>
          </w:tcPr>
          <w:p>
            <w:pPr>
              <w:pStyle w:val="Compact"/>
              <w:spacing w:after="20"/>
            </w:pPr>
            <w:r>
              <w:rPr>
                <w:b/>
                <w:bCs/>
              </w:rPr>
              <w:t xml:space="preserve">Container throughput</w:t>
            </w:r>
          </w:p>
        </w:tc>
      </w:tr>
      <w:tr>
        <w:trPr>
          <w:cantSplit/>
        </w:trPr>
        <w:tc>
          <w:tcPr>
            <w:tcW w:w="2250" w:type="dxa"/>
          </w:tcPr>
          <w:p>
            <w:pPr>
              <w:pStyle w:val="Compact"/>
              <w:spacing w:after="20"/>
            </w:pPr>
            <w:r>
              <w:t xml:space="preserve">TY-ecomm 12-layer</w:t>
            </w:r>
          </w:p>
        </w:tc>
        <w:tc>
          <w:tcPr>
            <w:tcW w:w="2250" w:type="dxa"/>
          </w:tcPr>
          <w:p>
            <w:pPr>
              <w:pStyle w:val="Compact"/>
              <w:spacing w:after="20"/>
            </w:pPr>
            <w:r>
              <w:t xml:space="preserve">0.8643</w:t>
            </w:r>
          </w:p>
        </w:tc>
        <w:tc>
          <w:tcPr>
            <w:tcW w:w="2250" w:type="dxa"/>
          </w:tcPr>
          <w:p>
            <w:pPr>
              <w:pStyle w:val="Compact"/>
              <w:spacing w:after="20"/>
            </w:pPr>
            <w:r>
              <w:t xml:space="preserve">0.8653</w:t>
            </w:r>
          </w:p>
        </w:tc>
        <w:tc>
          <w:tcPr>
            <w:tcW w:w="2250" w:type="dxa"/>
          </w:tcPr>
          <w:p>
            <w:pPr>
              <w:pStyle w:val="Compact"/>
              <w:spacing w:after="20"/>
            </w:pPr>
            <w:r>
              <w:t xml:space="preserve">2,680 rows/s</w:t>
            </w:r>
          </w:p>
        </w:tc>
      </w:tr>
      <w:tr>
        <w:trPr>
          <w:cantSplit/>
        </w:trPr>
        <w:tc>
          <w:tcPr>
            <w:tcW w:w="2250" w:type="dxa"/>
          </w:tcPr>
          <w:p>
            <w:pPr>
              <w:pStyle w:val="Compact"/>
              <w:spacing w:after="20"/>
            </w:pPr>
            <w:r>
              <w:t xml:space="preserve">TY-ecomm 8-layer</w:t>
            </w:r>
          </w:p>
        </w:tc>
        <w:tc>
          <w:tcPr>
            <w:tcW w:w="2250" w:type="dxa"/>
          </w:tcPr>
          <w:p>
            <w:pPr>
              <w:pStyle w:val="Compact"/>
              <w:spacing w:after="20"/>
            </w:pPr>
            <w:r>
              <w:t xml:space="preserve">0.8581</w:t>
            </w:r>
          </w:p>
        </w:tc>
        <w:tc>
          <w:tcPr>
            <w:tcW w:w="2250" w:type="dxa"/>
          </w:tcPr>
          <w:p>
            <w:pPr>
              <w:pStyle w:val="Compact"/>
              <w:spacing w:after="20"/>
            </w:pPr>
            <w:r>
              <w:t xml:space="preserve">0.8626</w:t>
            </w:r>
          </w:p>
        </w:tc>
        <w:tc>
          <w:tcPr>
            <w:tcW w:w="2250" w:type="dxa"/>
          </w:tcPr>
          <w:p>
            <w:pPr>
              <w:pStyle w:val="Compact"/>
              <w:spacing w:after="20"/>
            </w:pPr>
            <w:r>
              <w:t xml:space="preserve">3,322 rows/s</w:t>
            </w:r>
          </w:p>
        </w:tc>
      </w:tr>
      <w:tr>
        <w:trPr>
          <w:cantSplit/>
        </w:trPr>
        <w:tc>
          <w:tcPr>
            <w:tcW w:w="2250" w:type="dxa"/>
          </w:tcPr>
          <w:p>
            <w:pPr>
              <w:pStyle w:val="Compact"/>
              <w:spacing w:after="20"/>
            </w:pPr>
            <w:r>
              <w:rPr>
                <w:b/>
                <w:bCs/>
              </w:rPr>
              <w:t xml:space="preserve">BERTurk-128k 12-layer, submitted</w:t>
            </w:r>
          </w:p>
        </w:tc>
        <w:tc>
          <w:tcPr>
            <w:tcW w:w="2250" w:type="dxa"/>
          </w:tcPr>
          <w:p>
            <w:pPr>
              <w:pStyle w:val="Compact"/>
              <w:spacing w:after="20"/>
            </w:pPr>
            <w:r>
              <w:rPr>
                <w:b/>
                <w:bCs/>
              </w:rPr>
              <w:t xml:space="preserve">0.8546</w:t>
            </w:r>
          </w:p>
        </w:tc>
        <w:tc>
          <w:tcPr>
            <w:tcW w:w="2250" w:type="dxa"/>
          </w:tcPr>
          <w:p>
            <w:pPr>
              <w:pStyle w:val="Compact"/>
              <w:spacing w:after="20"/>
            </w:pPr>
            <w:r>
              <w:rPr>
                <w:b/>
                <w:bCs/>
              </w:rPr>
              <w:t xml:space="preserve">0.8579</w:t>
            </w:r>
          </w:p>
        </w:tc>
        <w:tc>
          <w:tcPr>
            <w:tcW w:w="2250" w:type="dxa"/>
          </w:tcPr>
          <w:p>
            <w:pPr>
              <w:pStyle w:val="Compact"/>
              <w:spacing w:after="20"/>
            </w:pPr>
            <w:r>
              <w:rPr>
                <w:b/>
                <w:bCs/>
              </w:rPr>
              <w:t xml:space="preserve">about 4,500 rows/s</w:t>
            </w:r>
          </w:p>
        </w:tc>
      </w:tr>
      <w:tr>
        <w:trPr>
          <w:cantSplit/>
        </w:trPr>
        <w:tc>
          <w:tcPr>
            <w:tcW w:w="2250" w:type="dxa"/>
          </w:tcPr>
          <w:p>
            <w:pPr>
              <w:pStyle w:val="Compact"/>
              <w:spacing w:after="20"/>
            </w:pPr>
            <w:r>
              <w:t xml:space="preserve">Turkish-medium 8-layer</w:t>
            </w:r>
          </w:p>
        </w:tc>
        <w:tc>
          <w:tcPr>
            <w:tcW w:w="2250" w:type="dxa"/>
          </w:tcPr>
          <w:p>
            <w:pPr>
              <w:pStyle w:val="Compact"/>
              <w:spacing w:after="20"/>
            </w:pPr>
            <w:r>
              <w:t xml:space="preserve">0.8337</w:t>
            </w:r>
          </w:p>
        </w:tc>
        <w:tc>
          <w:tcPr>
            <w:tcW w:w="2250" w:type="dxa"/>
          </w:tcPr>
          <w:p>
            <w:pPr>
              <w:pStyle w:val="Compact"/>
              <w:spacing w:after="20"/>
            </w:pPr>
            <w:r>
              <w:t xml:space="preserve">0.8409</w:t>
            </w:r>
          </w:p>
        </w:tc>
        <w:tc>
          <w:tcPr>
            <w:tcW w:w="2250" w:type="dxa"/>
          </w:tcPr>
          <w:p>
            <w:pPr>
              <w:pStyle w:val="Compact"/>
              <w:spacing w:after="20"/>
            </w:pPr>
            <w:r>
              <w:t xml:space="preserve">5,427 rows/s</w:t>
            </w:r>
          </w:p>
        </w:tc>
      </w:tr>
    </w:tbl>
    <w:p>
      <w:pPr>
        <w:pStyle w:val="BodyText"/>
        <w:spacing w:after="70"/>
      </w:pPr>
      <w:r>
        <w:t xml:space="preserve">BERTurk gives up 0.0074 public macro-F1 relative to TY-ecomm 12-layer but provides about 68% more throughput. Under the official score, accuracy is max-normalized with a rank multiplier while speed is max-normalized by the fastest team. Scenario analysis across slow high-quality, balanced, and small fast competitors gave BERTurk the best worst-case total. It was selected as the Pareto point, not as the highest-quality checkpoint.</w:t>
      </w:r>
    </w:p>
    <w:p>
      <w:pPr>
        <w:pStyle w:val="BodyText"/>
        <w:spacing w:after="70"/>
      </w:pPr>
      <w:r>
        <w:t xml:space="preserve">XLM-R, multilingual E5, mDeBERTa, and Qwen3 were weaker on the same task. ModernBERT required 3.327 tokens per Turkish word versus 2.053 for BERTurk and had a slower forward pass. The 12B model was about 60 rows/s and could not compete on runtime. The uncased BERTurk variant scored 0.8511 versus 0.8546 for the submitted cased model under the same six-epoch recipe.</w:t>
      </w:r>
    </w:p>
    <w:p>
      <w:pPr>
        <w:pStyle w:val="Heading2"/>
        <w:spacing w:before="250" w:after="80"/>
      </w:pPr>
      <w:r>
        <w:t xml:space="preserve">6. Model Architecture</w:t>
      </w:r>
    </w:p>
    <w:p>
      <w:pPr>
        <w:pStyle w:val="BodyText"/>
        <w:spacing w:after="70"/>
      </w:pPr>
      <w:r>
        <w:t xml:space="preserve">The submitted backbone is </w:t>
      </w:r>
      <w:r>
        <w:rPr>
          <w:rFonts w:ascii="Menlo" w:hAnsi="Menlo" w:cs="Menlo"/>
          <w:sz w:val="18"/>
          <w:szCs w:val="18"/>
        </w:rPr>
        <w:t xml:space="preserve">dbmdz/bert-base-turkish-128k-cased</w:t>
      </w:r>
      <w:r>
        <w:t xml:space="preserve">, revision </w:t>
      </w:r>
      <w:r>
        <w:rPr>
          <w:rFonts w:ascii="Menlo" w:hAnsi="Menlo" w:cs="Menlo"/>
          <w:sz w:val="18"/>
          <w:szCs w:val="18"/>
        </w:rPr>
        <w:t xml:space="preserve">fea3225...</w:t>
      </w:r>
      <w:r>
        <w:t xml:space="preserve">, under the MIT license. It has 12 transformer layers, hidden size 768, 12 attention heads, a 128,000-token WordPiece vocabulary, and 184,347,651 parameters.</w:t>
      </w:r>
    </w:p>
    <w:p>
      <w:pPr>
        <w:pStyle w:val="BodyText"/>
        <w:spacing w:after="70"/>
      </w:pPr>
      <w:r>
        <w:t xml:space="preserve">BERTurk itself is a plain BERT encoder; we use it as a cross-encoder, not a bi-encoder: the query and a compact field-tagged product representation are concatenated into one sequence of at most 256 tokens and encoded together, so every attention layer sees both sides. A three-class softmax head on the pooled output returns </w:t>
      </w:r>
      <w:r>
        <w:rPr>
          <w:rFonts w:ascii="Menlo" w:hAnsi="Menlo" w:cs="Menlo"/>
          <w:sz w:val="18"/>
          <w:szCs w:val="18"/>
        </w:rPr>
        <w:t xml:space="preserve">p_irrelevant</w:t>
      </w:r>
      <w:r>
        <w:t xml:space="preserve">, </w:t>
      </w:r>
      <w:r>
        <w:rPr>
          <w:rFonts w:ascii="Menlo" w:hAnsi="Menlo" w:cs="Menlo"/>
          <w:sz w:val="18"/>
          <w:szCs w:val="18"/>
        </w:rPr>
        <w:t xml:space="preserve">p_semi</w:t>
      </w:r>
      <w:r>
        <w:t xml:space="preserve">, and </w:t>
      </w:r>
      <w:r>
        <w:rPr>
          <w:rFonts w:ascii="Menlo" w:hAnsi="Menlo" w:cs="Menlo"/>
          <w:sz w:val="18"/>
          <w:szCs w:val="18"/>
        </w:rPr>
        <w:t xml:space="preserve">p_relevant</w:t>
      </w:r>
      <w:r>
        <w:t xml:space="preserve">. The final decision uses:</w:t>
      </w:r>
    </w:p>
    <w:p>
      <w:pPr>
        <w:pStyle w:val="BodyText"/>
        <w:spacing w:after="90"/>
        <w:shd w:val="clear" w:color="auto" w:fill="F3F7FB"/>
        <w:pBdr>
          <w:left w:val="single" w:sz="24" w:space="6" w:color="2E6BA6"/>
        </w:pBdr>
      </w:pPr>
      <w:r>
        <w:rPr>
          <w:rFonts w:ascii="Menlo" w:hAnsi="Menlo" w:cs="Menlo"/>
          <w:sz w:val="18"/>
          <w:szCs w:val="18"/>
        </w:rPr>
        <w:t xml:space="preserve">x = p_semi + 2 * p_relevant</w:t>
      </w:r>
      <w:r>
        <w:br/>
      </w:r>
      <w:r>
        <w:br/>
      </w:r>
      <w:r>
        <w:t xml:space="preserve">Cut 1: 0.951752 Cut 2: 1.061868</w:t>
      </w:r>
      <w:r>
        <w:br/>
      </w:r>
      <w:r>
        <w:t xml:space="preserve">Below cut 1: irrelevant | Between cuts: semi-relevant | Above cut 2: relevant</w:t>
      </w:r>
    </w:p>
    <w:p>
      <w:pPr>
        <w:pStyle w:val="BodyText"/>
        <w:spacing w:after="70"/>
      </w:pPr>
      <w:r>
        <w:t>Both cuts were fitted on the DEV half only, out-of-fold, never on the full public set; they are global, one pair for all categories, and frozen in decision.json. Each row is decided independently. The submission does not use batch quantiles, label quotas, retrieval, or test-set statistics.</w:t>
      </w:r>
    </w:p>
    <w:p>
      <w:pPr>
        <w:pStyle w:val="Heading2"/>
        <w:spacing w:before="250" w:after="80"/>
      </w:pPr>
      <w:r>
        <w:t xml:space="preserve">7. Data Cleaning &amp; Input Preprocessing</w:t>
      </w:r>
    </w:p>
    <w:p>
      <w:pPr>
        <w:pStyle w:val="BodyText"/>
        <w:ind w:left="360" w:hanging="220"/>
        <w:spacing w:after="45"/>
      </w:pPr>
      <w:r>
        <w:t xml:space="preserve">• </w:t>
      </w:r>
      <w:r>
        <w:t xml:space="preserve">Normalize Unicode and convert the inconsistent two-character lowercase form of Turkish </w:t>
      </w:r>
      <w:r>
        <w:rPr>
          <w:rFonts w:ascii="Menlo" w:hAnsi="Menlo" w:cs="Menlo"/>
          <w:sz w:val="18"/>
          <w:szCs w:val="18"/>
        </w:rPr>
        <w:t xml:space="preserve">İ</w:t>
      </w:r>
      <w:r>
        <w:t xml:space="preserve">, an </w:t>
      </w:r>
      <w:r>
        <w:rPr>
          <w:rFonts w:ascii="Menlo" w:hAnsi="Menlo" w:cs="Menlo"/>
          <w:sz w:val="18"/>
          <w:szCs w:val="18"/>
        </w:rPr>
        <w:t xml:space="preserve">i</w:t>
      </w:r>
      <w:r>
        <w:t xml:space="preserve"> followed by a separate dot, to one normal </w:t>
      </w:r>
      <w:r>
        <w:rPr>
          <w:rFonts w:ascii="Menlo" w:hAnsi="Menlo" w:cs="Menlo"/>
          <w:sz w:val="18"/>
          <w:szCs w:val="18"/>
        </w:rPr>
        <w:t xml:space="preserve">i</w:t>
      </w:r>
      <w:r>
        <w:t xml:space="preserve">.</w:t>
      </w:r>
    </w:p>
    <w:p>
      <w:pPr>
        <w:pStyle w:val="BodyText"/>
        <w:ind w:left="360" w:hanging="220"/>
        <w:spacing w:after="45"/>
      </w:pPr>
      <w:r>
        <w:t xml:space="preserve">• </w:t>
      </w:r>
      <w:r>
        <w:t xml:space="preserve">Drop 18 attribute keys whose presence exposed the training export.</w:t>
      </w:r>
    </w:p>
    <w:p>
      <w:pPr>
        <w:pStyle w:val="BodyText"/>
        <w:ind w:left="360" w:hanging="220"/>
        <w:spacing w:after="45"/>
      </w:pPr>
      <w:r>
        <w:t xml:space="preserve">• </w:t>
      </w:r>
      <w:r>
        <w:t xml:space="preserve">Map export-specific </w:t>
      </w:r>
      <w:r>
        <w:rPr>
          <w:rFonts w:ascii="Menlo" w:hAnsi="Menlo" w:cs="Menlo"/>
          <w:sz w:val="18"/>
          <w:szCs w:val="18"/>
        </w:rPr>
        <w:t xml:space="preserve">gender: unisex</w:t>
      </w:r>
      <w:r>
        <w:t xml:space="preserve"> and </w:t>
      </w:r>
      <w:r>
        <w:rPr>
          <w:rFonts w:ascii="Menlo" w:hAnsi="Menlo" w:cs="Menlo"/>
          <w:sz w:val="18"/>
          <w:szCs w:val="18"/>
        </w:rPr>
        <w:t xml:space="preserve">gender: çocuk</w:t>
      </w:r>
      <w:r>
        <w:t xml:space="preserve"> to </w:t>
      </w:r>
      <w:r>
        <w:rPr>
          <w:rFonts w:ascii="Menlo" w:hAnsi="Menlo" w:cs="Menlo"/>
          <w:sz w:val="18"/>
          <w:szCs w:val="18"/>
        </w:rPr>
        <w:t xml:space="preserve">unknown</w:t>
      </w:r>
      <w:r>
        <w:t xml:space="preserve">.</w:t>
      </w:r>
    </w:p>
    <w:p>
      <w:pPr>
        <w:pStyle w:val="BodyText"/>
        <w:ind w:left="360" w:hanging="220"/>
        <w:spacing w:after="45"/>
      </w:pPr>
      <w:r>
        <w:t xml:space="preserve">• </w:t>
      </w:r>
      <w:r>
        <w:t xml:space="preserve">Drop 42 additional boilerplate attribute keys and uninformative values while preserving compatibility information such as </w:t>
      </w:r>
      <w:r>
        <w:rPr>
          <w:rFonts w:ascii="Menlo" w:hAnsi="Menlo" w:cs="Menlo"/>
          <w:sz w:val="18"/>
          <w:szCs w:val="18"/>
        </w:rPr>
        <w:t xml:space="preserve">var</w:t>
      </w:r>
      <w:r>
        <w:t xml:space="preserve"> and </w:t>
      </w:r>
      <w:r>
        <w:rPr>
          <w:rFonts w:ascii="Menlo" w:hAnsi="Menlo" w:cs="Menlo"/>
          <w:sz w:val="18"/>
          <w:szCs w:val="18"/>
        </w:rPr>
        <w:t xml:space="preserve">yok</w:t>
      </w:r>
      <w:r>
        <w:t xml:space="preserve">.</w:t>
      </w:r>
    </w:p>
    <w:p>
      <w:pPr>
        <w:pStyle w:val="BodyText"/>
        <w:ind w:left="360" w:hanging="220"/>
        <w:spacing w:after="45"/>
      </w:pPr>
      <w:r>
        <w:t xml:space="preserve">• </w:t>
      </w:r>
      <w:r>
        <w:t xml:space="preserve">Merge all empty-attribute spellings into one </w:t>
      </w:r>
      <w:r>
        <w:rPr>
          <w:rFonts w:ascii="Menlo" w:hAnsi="Menlo" w:cs="Menlo"/>
          <w:sz w:val="18"/>
          <w:szCs w:val="18"/>
        </w:rPr>
        <w:t xml:space="preserve">unknown</w:t>
      </w:r>
      <w:r>
        <w:t xml:space="preserve"> sentinel.</w:t>
      </w:r>
    </w:p>
    <w:p>
      <w:pPr>
        <w:pStyle w:val="BodyText"/>
        <w:ind w:left="360" w:hanging="220"/>
        <w:spacing w:after="45"/>
      </w:pPr>
      <w:r>
        <w:t xml:space="preserve">• </w:t>
      </w:r>
      <w:r>
        <w:t xml:space="preserve">Build product text from title, brand, category, gender, age group, and cleaned attributes. Missing fields are skipped safely.</w:t>
      </w:r>
    </w:p>
    <w:p>
      <w:pPr>
        <w:pStyle w:val="BodyText"/>
        <w:spacing w:after="70"/>
      </w:pPr>
      <w:r>
        <w:t>Steps one to three are the v1 transform (leak removal); steps four and five are v2, the version behind every number in this report unless stated otherwise. The cleanup removes 34% of attribute characters and 15-17% of model tokens. A paired experiment improved macro-F1 from 0.7994 to 0.8149. The same frozen transform runs in training, batch inference, and the explanation UI; parity was verified on all 7,500 public rows.</w:t>
      </w:r>
    </w:p>
    <w:p>
      <w:pPr>
        <w:pStyle w:val="Heading2"/>
        <w:spacing w:before="250" w:after="80"/>
      </w:pPr>
      <w:r>
        <w:t xml:space="preserve">8. Training Strategy</w:t>
      </w:r>
    </w:p>
    <w:p>
      <w:pPr>
        <w:pStyle w:val="BodyText"/>
        <w:spacing w:after="70"/>
      </w:pPr>
      <w:r>
        <w:t xml:space="preserve">The final model was fine-tuned once on hard labels with no distillation. Training used 813,269 rows: 498,374 organizer rows after removing public-query collisions, 263,932 judged irrelevant rows, and 50,963 contrast or judge-extra rows. Class counts were 284,136 semi-relevant, 265,119 relevant, and 264,014 irrelevant. Automated checks asserted zero public-query overlap.</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1500"/>
        <w:gridCol w:w="1500"/>
        <w:gridCol w:w="1500"/>
        <w:gridCol w:w="1500"/>
        <w:gridCol w:w="1500"/>
        <w:gridCol w:w="1500"/>
      </w:tblGrid>
      <w:tr>
        <w:trPr>
          <w:cantSplit/>
        </w:trPr>
        <w:tc>
          <w:tcPr>
            <w:tcW w:w="1500" w:type="dxa"/>
            <w:shd w:val="clear" w:color="auto" w:fill="EAF0F7"/>
          </w:tcPr>
          <w:p>
            <w:pPr>
              <w:pStyle w:val="Compact"/>
              <w:spacing w:after="20"/>
            </w:pPr>
            <w:r>
              <w:rPr>
                <w:b/>
                <w:bCs/>
              </w:rPr>
              <w:t xml:space="preserve">Epochs</w:t>
            </w:r>
          </w:p>
        </w:tc>
        <w:tc>
          <w:tcPr>
            <w:tcW w:w="1500" w:type="dxa"/>
            <w:shd w:val="clear" w:color="auto" w:fill="EAF0F7"/>
          </w:tcPr>
          <w:p>
            <w:pPr>
              <w:pStyle w:val="Compact"/>
              <w:spacing w:after="20"/>
            </w:pPr>
            <w:r>
              <w:rPr>
                <w:b/>
                <w:bCs/>
              </w:rPr>
              <w:t xml:space="preserve">Batch</w:t>
            </w:r>
          </w:p>
        </w:tc>
        <w:tc>
          <w:tcPr>
            <w:tcW w:w="1500" w:type="dxa"/>
            <w:shd w:val="clear" w:color="auto" w:fill="EAF0F7"/>
          </w:tcPr>
          <w:p>
            <w:pPr>
              <w:pStyle w:val="Compact"/>
              <w:spacing w:after="20"/>
            </w:pPr>
            <w:r>
              <w:rPr>
                <w:b/>
                <w:bCs/>
              </w:rPr>
              <w:t xml:space="preserve">Learning rate</w:t>
            </w:r>
          </w:p>
        </w:tc>
        <w:tc>
          <w:tcPr>
            <w:tcW w:w="1500" w:type="dxa"/>
            <w:shd w:val="clear" w:color="auto" w:fill="EAF0F7"/>
          </w:tcPr>
          <w:p>
            <w:pPr>
              <w:pStyle w:val="Compact"/>
              <w:spacing w:after="20"/>
            </w:pPr>
            <w:r>
              <w:rPr>
                <w:b/>
                <w:bCs/>
              </w:rPr>
              <w:t xml:space="preserve">Precision</w:t>
            </w:r>
          </w:p>
        </w:tc>
        <w:tc>
          <w:tcPr>
            <w:tcW w:w="1500" w:type="dxa"/>
            <w:shd w:val="clear" w:color="auto" w:fill="EAF0F7"/>
          </w:tcPr>
          <w:p>
            <w:pPr>
              <w:pStyle w:val="Compact"/>
              <w:spacing w:after="20"/>
            </w:pPr>
            <w:r>
              <w:rPr>
                <w:b/>
                <w:bCs/>
              </w:rPr>
              <w:t xml:space="preserve">Loss</w:t>
            </w:r>
          </w:p>
        </w:tc>
        <w:tc>
          <w:tcPr>
            <w:tcW w:w="1500" w:type="dxa"/>
            <w:shd w:val="clear" w:color="auto" w:fill="EAF0F7"/>
          </w:tcPr>
          <w:p>
            <w:pPr>
              <w:pStyle w:val="Compact"/>
              <w:spacing w:after="20"/>
            </w:pPr>
            <w:r>
              <w:rPr>
                <w:b/>
                <w:bCs/>
              </w:rPr>
              <w:t xml:space="preserve">Seed</w:t>
            </w:r>
          </w:p>
        </w:tc>
      </w:tr>
      <w:tr>
        <w:trPr>
          <w:cantSplit/>
        </w:trPr>
        <w:tc>
          <w:tcPr>
            <w:tcW w:w="1500" w:type="dxa"/>
          </w:tcPr>
          <w:p>
            <w:pPr>
              <w:pStyle w:val="Compact"/>
              <w:spacing w:after="20"/>
            </w:pPr>
            <w:r>
              <w:t xml:space="preserve">6</w:t>
            </w:r>
          </w:p>
        </w:tc>
        <w:tc>
          <w:tcPr>
            <w:tcW w:w="1500" w:type="dxa"/>
          </w:tcPr>
          <w:p>
            <w:pPr>
              <w:pStyle w:val="Compact"/>
              <w:spacing w:after="20"/>
            </w:pPr>
            <w:r>
              <w:t xml:space="preserve">64</w:t>
            </w:r>
          </w:p>
        </w:tc>
        <w:tc>
          <w:tcPr>
            <w:tcW w:w="1500" w:type="dxa"/>
          </w:tcPr>
          <w:p>
            <w:pPr>
              <w:pStyle w:val="Compact"/>
              <w:spacing w:after="20"/>
            </w:pPr>
            <w:r>
              <w:t xml:space="preserve">3e-5</w:t>
            </w:r>
          </w:p>
        </w:tc>
        <w:tc>
          <w:tcPr>
            <w:tcW w:w="1500" w:type="dxa"/>
          </w:tcPr>
          <w:p>
            <w:pPr>
              <w:pStyle w:val="Compact"/>
              <w:spacing w:after="20"/>
            </w:pPr>
            <w:r>
              <w:t xml:space="preserve">bf16</w:t>
            </w:r>
          </w:p>
        </w:tc>
        <w:tc>
          <w:tcPr>
            <w:tcW w:w="1500" w:type="dxa"/>
          </w:tcPr>
          <w:p>
            <w:pPr>
              <w:pStyle w:val="Compact"/>
              <w:spacing w:after="20"/>
            </w:pPr>
            <w:r>
              <w:t xml:space="preserve">Class-weighted cross-entropy, smoothing 0.05</w:t>
            </w:r>
          </w:p>
        </w:tc>
        <w:tc>
          <w:tcPr>
            <w:tcW w:w="1500" w:type="dxa"/>
          </w:tcPr>
          <w:p>
            <w:pPr>
              <w:pStyle w:val="Compact"/>
              <w:spacing w:after="20"/>
            </w:pPr>
            <w:r>
              <w:t xml:space="preserve">42</w:t>
            </w:r>
          </w:p>
        </w:tc>
      </w:tr>
    </w:tbl>
    <w:p>
      <w:pPr>
        <w:pStyle w:val="BodyText"/>
        <w:spacing w:after="70"/>
      </w:pPr>
      <w:r>
        <w:t xml:space="preserve">AdamW used weight decay 0.01, 5% linear warm-up followed by cosine decay, gradient clipping at 1.0, maximum length 256, and length-grouped batches. Three seeds produced 0.8546, 0.8533, and 0.8559 DEV OOF macro-F1, with standard deviation 0.0013.</w:t>
      </w:r>
    </w:p>
    <w:p>
      <w:pPr>
        <w:pStyle w:val="Heading2"/>
        <w:spacing w:before="250" w:after="80"/>
      </w:pPr>
      <w:r>
        <w:t xml:space="preserve">9. Validation Strategy</w:t>
      </w:r>
    </w:p>
    <w:p>
      <w:pPr>
        <w:pStyle w:val="BodyText"/>
        <w:ind w:left="360" w:hanging="220"/>
        <w:spacing w:after="45"/>
      </w:pPr>
      <w:r>
        <w:t xml:space="preserve">• </w:t>
      </w:r>
      <w:r>
        <w:rPr>
          <w:b/>
          <w:bCs/>
        </w:rPr>
        <w:t xml:space="preserve">Split:</w:t>
      </w:r>
      <w:r>
        <w:t xml:space="preserve"> one seeded query-disjoint split of the labeled public set into balanced DEV and HOLDOUT halves. Queries never cross the split.</w:t>
      </w:r>
    </w:p>
    <w:p>
      <w:pPr>
        <w:pStyle w:val="BodyText"/>
        <w:ind w:left="360" w:hanging="220"/>
        <w:spacing w:after="45"/>
      </w:pPr>
      <w:r>
        <w:t xml:space="preserve">• </w:t>
      </w:r>
      <w:r>
        <w:rPr>
          <w:b/>
          <w:bCs/>
        </w:rPr>
        <w:t xml:space="preserve">Selection:</w:t>
      </w:r>
      <w:r>
        <w:t xml:space="preserve"> all model comparison and threshold fitting used DEV. Threshold scores are out-of-fold within DEV.</w:t>
      </w:r>
    </w:p>
    <w:p>
      <w:pPr>
        <w:pStyle w:val="BodyText"/>
        <w:ind w:left="360" w:hanging="220"/>
        <w:spacing w:after="45"/>
      </w:pPr>
      <w:r>
        <w:t xml:space="preserve">• </w:t>
      </w:r>
      <w:r>
        <w:rPr>
          <w:b/>
          <w:bCs/>
        </w:rPr>
        <w:t xml:space="preserve">Quarantine:</w:t>
      </w:r>
      <w:r>
        <w:t xml:space="preserve"> HOLDOUT did not select models. It was checked only after a DEV decision was frozen.</w:t>
      </w:r>
    </w:p>
    <w:p>
      <w:pPr>
        <w:pStyle w:val="BodyText"/>
        <w:ind w:left="360" w:hanging="220"/>
        <w:spacing w:after="45"/>
      </w:pPr>
      <w:r>
        <w:t xml:space="preserve">• </w:t>
      </w:r>
      <w:r>
        <w:rPr>
          <w:b/>
          <w:bCs/>
        </w:rPr>
        <w:t xml:space="preserve">Uncertainty:</w:t>
      </w:r>
      <w:r>
        <w:t xml:space="preserve"> the 3,750-row DEV bootstrap standard deviation was about 0.0062, so differences below 0.012 did not declare a winner.</w:t>
      </w:r>
    </w:p>
    <w:p>
      <w:pPr>
        <w:pStyle w:val="BodyText"/>
        <w:ind w:left="360" w:hanging="220"/>
        <w:spacing w:after="45"/>
      </w:pPr>
      <w:r>
        <w:t xml:space="preserve">• </w:t>
      </w:r>
      <w:r>
        <w:rPr>
          <w:b/>
          <w:bCs/>
        </w:rPr>
        <w:t xml:space="preserve">Leakage:</w:t>
      </w:r>
      <w:r>
        <w:t xml:space="preserve"> generated-data probes, export-marker probes, query-overlap checks, and train-serve preprocessing parity were mandatory gates.</w:t>
      </w:r>
    </w:p>
    <w:p>
      <w:pPr>
        <w:pStyle w:val="BodyText"/>
        <w:ind w:left="360" w:hanging="220"/>
        <w:spacing w:after="45"/>
      </w:pPr>
      <w:r>
        <w:t xml:space="preserve">• </w:t>
      </w:r>
      <w:r>
        <w:rPr>
          <w:b/>
          <w:bCs/>
        </w:rPr>
        <w:t xml:space="preserve">Metric:</w:t>
      </w:r>
      <w:r>
        <w:t xml:space="preserve"> local macro-F1 was checked against the organizer's </w:t>
      </w:r>
      <w:r>
        <w:rPr>
          <w:rFonts w:ascii="Menlo" w:hAnsi="Menlo" w:cs="Menlo"/>
          <w:sz w:val="18"/>
          <w:szCs w:val="18"/>
        </w:rPr>
        <w:t xml:space="preserve">evaluate.py</w:t>
      </w:r>
      <w:r>
        <w:t xml:space="preserve">.</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3000"/>
        <w:gridCol w:w="3000"/>
        <w:gridCol w:w="3000"/>
      </w:tblGrid>
      <w:tr>
        <w:trPr>
          <w:cantSplit/>
        </w:trPr>
        <w:tc>
          <w:tcPr>
            <w:tcW w:w="3000" w:type="dxa"/>
            <w:shd w:val="clear" w:color="auto" w:fill="EAF0F7"/>
          </w:tcPr>
          <w:p>
            <w:pPr>
              <w:pStyle w:val="Compact"/>
              <w:spacing w:after="20"/>
            </w:pPr>
            <w:r>
              <w:rPr>
                <w:b/>
                <w:bCs/>
              </w:rPr>
              <w:t xml:space="preserve">Evaluation</w:t>
            </w:r>
          </w:p>
        </w:tc>
        <w:tc>
          <w:tcPr>
            <w:tcW w:w="3000" w:type="dxa"/>
            <w:shd w:val="clear" w:color="auto" w:fill="EAF0F7"/>
          </w:tcPr>
          <w:p>
            <w:pPr>
              <w:pStyle w:val="Compact"/>
              <w:spacing w:after="20"/>
            </w:pPr>
            <w:r>
              <w:rPr>
                <w:b/>
                <w:bCs/>
              </w:rPr>
              <w:t xml:space="preserve">Macro-F1</w:t>
            </w:r>
          </w:p>
        </w:tc>
        <w:tc>
          <w:tcPr>
            <w:tcW w:w="3000" w:type="dxa"/>
            <w:shd w:val="clear" w:color="auto" w:fill="EAF0F7"/>
          </w:tcPr>
          <w:p>
            <w:pPr>
              <w:pStyle w:val="Compact"/>
              <w:spacing w:after="20"/>
            </w:pPr>
            <w:r>
              <w:rPr>
                <w:b/>
                <w:bCs/>
              </w:rPr>
              <w:t xml:space="preserve">Role</w:t>
            </w:r>
          </w:p>
        </w:tc>
      </w:tr>
      <w:tr>
        <w:trPr>
          <w:cantSplit/>
        </w:trPr>
        <w:tc>
          <w:tcPr>
            <w:tcW w:w="3000" w:type="dxa"/>
          </w:tcPr>
          <w:p>
            <w:pPr>
              <w:pStyle w:val="Compact"/>
              <w:spacing w:after="20"/>
            </w:pPr>
            <w:r>
              <w:t xml:space="preserve">DEV OOF</w:t>
            </w:r>
          </w:p>
        </w:tc>
        <w:tc>
          <w:tcPr>
            <w:tcW w:w="3000" w:type="dxa"/>
          </w:tcPr>
          <w:p>
            <w:pPr>
              <w:pStyle w:val="Compact"/>
              <w:spacing w:after="20"/>
            </w:pPr>
            <w:r>
              <w:t xml:space="preserve">0.8546</w:t>
            </w:r>
          </w:p>
        </w:tc>
        <w:tc>
          <w:tcPr>
            <w:tcW w:w="3000" w:type="dxa"/>
          </w:tcPr>
          <w:p>
            <w:pPr>
              <w:pStyle w:val="Compact"/>
              <w:spacing w:after="20"/>
            </w:pPr>
            <w:r>
              <w:t xml:space="preserve">Primary selection estimate.</w:t>
            </w:r>
          </w:p>
        </w:tc>
      </w:tr>
      <w:tr>
        <w:trPr>
          <w:cantSplit/>
        </w:trPr>
        <w:tc>
          <w:tcPr>
            <w:tcW w:w="3000" w:type="dxa"/>
          </w:tcPr>
          <w:p>
            <w:pPr>
              <w:pStyle w:val="Compact"/>
              <w:spacing w:after="20"/>
            </w:pPr>
            <w:r>
              <w:t xml:space="preserve">DEV with frozen submitted cuts</w:t>
            </w:r>
          </w:p>
        </w:tc>
        <w:tc>
          <w:tcPr>
            <w:tcW w:w="3000" w:type="dxa"/>
          </w:tcPr>
          <w:p>
            <w:pPr>
              <w:pStyle w:val="Compact"/>
              <w:spacing w:after="20"/>
            </w:pPr>
            <w:r>
              <w:t xml:space="preserve">0.8557</w:t>
            </w:r>
          </w:p>
        </w:tc>
        <w:tc>
          <w:tcPr>
            <w:tcW w:w="3000" w:type="dxa"/>
          </w:tcPr>
          <w:p>
            <w:pPr>
              <w:pStyle w:val="Compact"/>
              <w:spacing w:after="20"/>
            </w:pPr>
            <w:r>
              <w:t xml:space="preserve">Calibration half.</w:t>
            </w:r>
          </w:p>
        </w:tc>
      </w:tr>
      <w:tr>
        <w:trPr>
          <w:cantSplit/>
        </w:trPr>
        <w:tc>
          <w:tcPr>
            <w:tcW w:w="3000" w:type="dxa"/>
          </w:tcPr>
          <w:p>
            <w:pPr>
              <w:pStyle w:val="Compact"/>
              <w:spacing w:after="20"/>
            </w:pPr>
            <w:r>
              <w:t xml:space="preserve">HOLDOUT with frozen submitted cuts</w:t>
            </w:r>
          </w:p>
        </w:tc>
        <w:tc>
          <w:tcPr>
            <w:tcW w:w="3000" w:type="dxa"/>
          </w:tcPr>
          <w:p>
            <w:pPr>
              <w:pStyle w:val="Compact"/>
              <w:spacing w:after="20"/>
            </w:pPr>
            <w:r>
              <w:t xml:space="preserve">0.8602</w:t>
            </w:r>
          </w:p>
        </w:tc>
        <w:tc>
          <w:tcPr>
            <w:tcW w:w="3000" w:type="dxa"/>
          </w:tcPr>
          <w:p>
            <w:pPr>
              <w:pStyle w:val="Compact"/>
              <w:spacing w:after="20"/>
            </w:pPr>
            <w:r>
              <w:t xml:space="preserve">Untouched confirmation half.</w:t>
            </w:r>
          </w:p>
        </w:tc>
      </w:tr>
      <w:tr>
        <w:trPr>
          <w:cantSplit/>
        </w:trPr>
        <w:tc>
          <w:tcPr>
            <w:tcW w:w="3000" w:type="dxa"/>
          </w:tcPr>
          <w:p>
            <w:pPr>
              <w:pStyle w:val="Compact"/>
              <w:spacing w:after="20"/>
            </w:pPr>
            <w:r>
              <w:t xml:space="preserve">Full public set</w:t>
            </w:r>
          </w:p>
        </w:tc>
        <w:tc>
          <w:tcPr>
            <w:tcW w:w="3000" w:type="dxa"/>
          </w:tcPr>
          <w:p>
            <w:pPr>
              <w:pStyle w:val="Compact"/>
              <w:spacing w:after="20"/>
            </w:pPr>
            <w:r>
              <w:t xml:space="preserve">0.857943456149</w:t>
            </w:r>
          </w:p>
        </w:tc>
        <w:tc>
          <w:tcPr>
            <w:tcW w:w="3000" w:type="dxa"/>
          </w:tcPr>
          <w:p>
            <w:pPr>
              <w:pStyle w:val="Compact"/>
              <w:spacing w:after="20"/>
            </w:pPr>
            <w:r>
              <w:t xml:space="preserve">Organizer metric on submitted image output.</w:t>
            </w:r>
          </w:p>
        </w:tc>
      </w:tr>
    </w:tbl>
    <w:p>
      <w:pPr>
        <w:pStyle w:val="BodyText"/>
        <w:spacing w:after="70"/>
      </w:pPr>
      <w:r>
        <w:t>Threshold transfer was tested across twelve re-splits using random, query-disjoint, product-disjoint, and leaf-category-disjoint partitions. The fitting half overstated the other half by about 0.003 on average. Under the hardest category-root-disjoint split, transfer was 0.850 plus or minus 0.014. On the submitted checkpoint, argmax scored 0.8495 on the full public set and DEV-fitted ordinal cuts scored 0.8579. This +0.0084 calibration gain is the public labels' only contribution to the final predictor; no public row was included in model training. Had the public set never been touched and the thresholds been fitted on a slice of our own training data instead, the score would have been 0.8501.</w:t>
      </w:r>
    </w:p>
    <w:p>
      <w:pPr>
        <w:pStyle w:val="BodyText"/>
        <w:spacing w:after="70"/>
      </w:pPr>
      <w:r>
        <w:t>The judge was validated separately from the student model. Its selection benchmark used 1,200 stratified DEV rows scored against the organizer's own labels. Its frozen outputs then passed the blind cross-model audit in which three independent Claude readers labeled the same 300 pairs from the rubric alone. This separation prevented a strong downstream score from being used as a substitute for label-quality evidence.</w:t>
      </w:r>
    </w:p>
    <w:p>
      <w:pPr>
        <w:pStyle w:val="Heading2"/>
        <w:spacing w:before="250" w:after="80"/>
      </w:pPr>
      <w:r>
        <w:t xml:space="preserve">10. Inference Strategy for Solution Routine</w:t>
      </w:r>
    </w:p>
    <w:p>
      <w:pPr>
        <w:pStyle w:val="BodyText"/>
        <w:spacing w:after="70"/>
      </w:pPr>
      <w:r>
        <w:rPr>
          <w:rFonts w:ascii="Menlo" w:hAnsi="Menlo" w:cs="Menlo"/>
          <w:sz w:val="18"/>
          <w:szCs w:val="18"/>
        </w:rPr>
        <w:t xml:space="preserve">run_solution.sh INPUT_CSV OUTPUT_CSV</w:t>
      </w:r>
      <w:r>
        <w:t xml:space="preserve"> starts one offline image. The entrypoint validates CUDA and arguments, reads CSV with a standards-compliant parser, normalizes and tokenizes in ten pinned worker processes, length-sorts rows stably, and performs bf16 inference with row and token budgets. Predictions are restored to input order and written atomically as exactly </w:t>
      </w:r>
      <w:r>
        <w:rPr>
          <w:rFonts w:ascii="Menlo" w:hAnsi="Menlo" w:cs="Menlo"/>
          <w:sz w:val="18"/>
          <w:szCs w:val="18"/>
        </w:rPr>
        <w:t xml:space="preserve">row_id,real_label</w:t>
      </w:r>
      <w:r>
        <w:t xml:space="preserve">.</w:t>
      </w:r>
    </w:p>
    <w:p>
      <w:pPr>
        <w:pStyle w:val="BodyText"/>
        <w:spacing w:after="70"/>
      </w:pPr>
      <w:r>
        <w:t xml:space="preserve">The fast path avoids importing Transformers, loads model tensors directly, overlaps model loading with the CPU data path, pins OpenMP and tokenizer thread pools to prevent oversubscription, and performs no redundant CSV read. Every accepted optimization had to preserve all 90,000 labels.</w:t>
      </w:r>
    </w:p>
    <w:p>
      <w:pPr>
        <w:pStyle w:val="BodyText"/>
        <w:spacing w:after="70"/>
      </w:pPr>
      <w:r>
        <w:rPr>
          <w:b/>
        </w:rPr>
        <w:t>Where the time goes.</w:t>
      </w:r>
      <w:r>
        <w:t xml:space="preserve"> Of the 20.0 s, 3.9 s is the Docker and NVIDIA hook start-up before our code runs; the CPU data path (4.8 s) overlaps model readiness (5.2 s); inference takes 9.5 s and the write 0.1 s. About 10.5 s is model-independent, which puts a physical ceiling of roughly 14,000 rows/s on any GPU container and bounds how far a faster competitor can move the speed denominator.</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4500"/>
        <w:gridCol w:w="4500"/>
      </w:tblGrid>
      <w:tr>
        <w:trPr>
          <w:cantSplit/>
        </w:trPr>
        <w:tc>
          <w:tcPr>
            <w:tcW w:w="4500" w:type="dxa"/>
            <w:shd w:val="clear" w:color="auto" w:fill="EAF0F7"/>
          </w:tcPr>
          <w:p>
            <w:pPr>
              <w:pStyle w:val="Compact"/>
              <w:spacing w:after="20"/>
            </w:pPr>
            <w:r>
              <w:rPr>
                <w:b/>
                <w:bCs/>
              </w:rPr>
              <w:t xml:space="preserve">Setting</w:t>
            </w:r>
          </w:p>
        </w:tc>
        <w:tc>
          <w:tcPr>
            <w:tcW w:w="4500" w:type="dxa"/>
            <w:shd w:val="clear" w:color="auto" w:fill="EAF0F7"/>
          </w:tcPr>
          <w:p>
            <w:pPr>
              <w:pStyle w:val="Compact"/>
              <w:spacing w:after="20"/>
            </w:pPr>
            <w:r>
              <w:rPr>
                <w:b/>
                <w:bCs/>
              </w:rPr>
              <w:t xml:space="preserve">Submitted value</w:t>
            </w:r>
          </w:p>
        </w:tc>
      </w:tr>
      <w:tr>
        <w:trPr>
          <w:cantSplit/>
        </w:trPr>
        <w:tc>
          <w:tcPr>
            <w:tcW w:w="4500" w:type="dxa"/>
          </w:tcPr>
          <w:p>
            <w:pPr>
              <w:pStyle w:val="Compact"/>
              <w:spacing w:after="20"/>
            </w:pPr>
            <w:r>
              <w:t xml:space="preserve">Batch and token limits</w:t>
            </w:r>
          </w:p>
        </w:tc>
        <w:tc>
          <w:tcPr>
            <w:tcW w:w="4500" w:type="dxa"/>
          </w:tcPr>
          <w:p>
            <w:pPr>
              <w:pStyle w:val="Compact"/>
              <w:spacing w:after="20"/>
            </w:pPr>
            <w:r>
              <w:t xml:space="preserve">256 rows, 65,536 tokens, maximum length 256</w:t>
            </w:r>
          </w:p>
        </w:tc>
      </w:tr>
      <w:tr>
        <w:trPr>
          <w:cantSplit/>
        </w:trPr>
        <w:tc>
          <w:tcPr>
            <w:tcW w:w="4500" w:type="dxa"/>
          </w:tcPr>
          <w:p>
            <w:pPr>
              <w:pStyle w:val="Compact"/>
              <w:spacing w:after="20"/>
            </w:pPr>
            <w:r>
              <w:t xml:space="preserve">Measured end-to-end runtime</w:t>
            </w:r>
          </w:p>
        </w:tc>
        <w:tc>
          <w:tcPr>
            <w:tcW w:w="4500" w:type="dxa"/>
          </w:tcPr>
          <w:p>
            <w:pPr>
              <w:pStyle w:val="Compact"/>
              <w:spacing w:after="20"/>
            </w:pPr>
            <w:r>
              <w:t xml:space="preserve">About 20.0 s for 90,000 rows, including container startup and output writing</w:t>
            </w:r>
          </w:p>
        </w:tc>
      </w:tr>
      <w:tr>
        <w:trPr>
          <w:cantSplit/>
        </w:trPr>
        <w:tc>
          <w:tcPr>
            <w:tcW w:w="4500" w:type="dxa"/>
          </w:tcPr>
          <w:p>
            <w:pPr>
              <w:pStyle w:val="Compact"/>
              <w:spacing w:after="20"/>
            </w:pPr>
            <w:r>
              <w:t xml:space="preserve">Peak resources</w:t>
            </w:r>
          </w:p>
        </w:tc>
        <w:tc>
          <w:tcPr>
            <w:tcW w:w="4500" w:type="dxa"/>
          </w:tcPr>
          <w:p>
            <w:pPr>
              <w:pStyle w:val="Compact"/>
              <w:spacing w:after="20"/>
            </w:pPr>
            <w:r>
              <w:t xml:space="preserve">Under 4 GB VRAM; 10 data workers plus server; well below 70 GB RAM</w:t>
            </w:r>
          </w:p>
        </w:tc>
      </w:tr>
      <w:tr>
        <w:trPr>
          <w:cantSplit/>
        </w:trPr>
        <w:tc>
          <w:tcPr>
            <w:tcW w:w="4500" w:type="dxa"/>
          </w:tcPr>
          <w:p>
            <w:pPr>
              <w:pStyle w:val="Compact"/>
              <w:spacing w:after="20"/>
            </w:pPr>
            <w:r>
              <w:t xml:space="preserve">Determinism</w:t>
            </w:r>
          </w:p>
        </w:tc>
        <w:tc>
          <w:tcPr>
            <w:tcW w:w="4500" w:type="dxa"/>
          </w:tcPr>
          <w:p>
            <w:pPr>
              <w:pStyle w:val="Compact"/>
              <w:spacing w:after="20"/>
            </w:pPr>
            <w:r>
              <w:t xml:space="preserve">No sampling; three runs produced 100.0000% label agreement</w:t>
            </w:r>
          </w:p>
        </w:tc>
      </w:tr>
      <w:tr>
        <w:trPr>
          <w:cantSplit/>
        </w:trPr>
        <w:tc>
          <w:tcPr>
            <w:tcW w:w="4500" w:type="dxa"/>
          </w:tcPr>
          <w:p>
            <w:pPr>
              <w:pStyle w:val="Compact"/>
              <w:spacing w:after="20"/>
            </w:pPr>
            <w:r>
              <w:t xml:space="preserve">Output</w:t>
            </w:r>
          </w:p>
        </w:tc>
        <w:tc>
          <w:tcPr>
            <w:tcW w:w="4500" w:type="dxa"/>
          </w:tcPr>
          <w:p>
            <w:pPr>
              <w:pStyle w:val="Compact"/>
              <w:spacing w:after="20"/>
            </w:pPr>
            <w:r>
              <w:t xml:space="preserve">UTF-8, exact two-column schema, original row IDs, atomic replace</w:t>
            </w:r>
          </w:p>
        </w:tc>
      </w:tr>
    </w:tbl>
    <w:p>
      <w:pPr>
        <w:pStyle w:val="BodyText"/>
        <w:spacing w:after="70"/>
      </w:pPr>
      <w:r>
        <w:t xml:space="preserve">Measured but rejected: </w:t>
      </w:r>
      <w:r>
        <w:rPr>
          <w:rFonts w:ascii="Menlo" w:hAnsi="Menlo" w:cs="Menlo"/>
          <w:sz w:val="18"/>
          <w:szCs w:val="18"/>
        </w:rPr>
        <w:t xml:space="preserve">torch.compile</w:t>
      </w:r>
      <w:r>
        <w:t xml:space="preserve"> because startup compilation exceeded its gain; INT8 and TensorRT because end-to-end speed was flat or worse; streaming because changed batch composition moved about 0.1% of borderline labels.</w:t>
      </w:r>
    </w:p>
    <w:p>
      <w:pPr>
        <w:pStyle w:val="Heading2"/>
        <w:spacing w:before="250" w:after="80"/>
      </w:pPr>
      <w:r>
        <w:t xml:space="preserve">11. Inference Strategy for Explainability Routine</w:t>
      </w:r>
    </w:p>
    <w:p>
      <w:pPr>
        <w:pStyle w:val="BodyText"/>
        <w:spacing w:after="70"/>
      </w:pPr>
      <w:r>
        <w:rPr>
          <w:b/>
          <w:bCs/>
        </w:rPr>
        <w:t xml:space="preserve">Definition.</w:t>
      </w:r>
      <w:r>
        <w:t xml:space="preserve"> An explanation must expose evidence from the same predictor, preprocessing, and ordinal decision rule that produced the label. The UI uses no second model and no narrative LLM. The attribution target is the decision scalar x itself rather than a class logit: the served label differs from argmax on about 3% of rows, exactly where a class-logit explanation would explain the wrong quantity. An automatic parity test confirms that the UI label equals the container label on every explained row.</w:t>
      </w:r>
    </w:p>
    <w:p>
      <w:pPr>
        <w:pStyle w:val="BodyText"/>
        <w:spacing w:after="70"/>
      </w:pPr>
      <w:r>
        <w:rPr>
          <w:b/>
          <w:bCs/>
        </w:rPr>
        <w:t xml:space="preserve">Signals.</w:t>
      </w:r>
      <w:r>
        <w:t xml:space="preserve"> Integrated Gradients attributes the actual decision scalar at the embedding layer and reports a completeness check. Leave-one-field, attribute, and query-word occlusion re-scores the same model and highlights label flips. Supporting views show query-product attention, a faithfulness deletion curve, agreement between methods, Turkish spelling robustness, and the exact preprocessing diff. Attention is shown as supporting evidence only; Integrated Gradients is the primary explanation. The robustness strip shows how the label reacts to spelling variants of the query; for example, the unspaced query celikbileklik scores semi-relevant while celik bileklik, with a space, scores relevant.</w:t>
      </w:r>
    </w:p>
    <w:p>
      <w:pPr>
        <w:pStyle w:val="BodyText"/>
        <w:spacing w:after="70"/>
      </w:pPr>
      <w:r>
        <w:rPr>
          <w:b/>
          <w:bCs/>
        </w:rPr>
        <w:t xml:space="preserve">GUI and typical use.</w:t>
      </w:r>
      <w:r>
        <w:t xml:space="preserve"> The reviewer searches a public </w:t>
      </w:r>
      <w:r>
        <w:rPr>
          <w:rFonts w:ascii="Menlo" w:hAnsi="Menlo" w:cs="Menlo"/>
          <w:sz w:val="18"/>
          <w:szCs w:val="18"/>
        </w:rPr>
        <w:t xml:space="preserve">row_id</w:t>
      </w:r>
      <w:r>
        <w:t xml:space="preserve">, sees all visible fields, edits the pre-filled query if desired, and selects Explain. The page presents the label, class probabilities, the scalar against both thresholds, word and field contributions, counterfactual flips, robustness checks, and a short fixed-template Turkish summary. The user can edit the query or product fields and run the same model again.</w:t>
      </w:r>
    </w:p>
    <w:p>
      <w:pPr>
        <w:pStyle w:val="BodyText"/>
        <w:spacing w:after="70"/>
      </w:pPr>
      <w:r>
        <w:rPr>
          <w:b/>
          <w:bCs/>
        </w:rPr>
        <w:t xml:space="preserve">Serving.</w:t>
      </w:r>
      <w:r>
        <w:t xml:space="preserve"> </w:t>
      </w:r>
      <w:r>
        <w:rPr>
          <w:rFonts w:ascii="Menlo" w:hAnsi="Menlo" w:cs="Menlo"/>
          <w:sz w:val="18"/>
          <w:szCs w:val="18"/>
        </w:rPr>
        <w:t xml:space="preserve">run_explainability.sh</w:t>
      </w:r>
      <w:r>
        <w:t xml:space="preserve"> starts a local standard-library HTTP server and the vendored, checksum-pinned ngrok agent. It fails closed without </w:t>
      </w:r>
      <w:r>
        <w:rPr>
          <w:rFonts w:ascii="Menlo" w:hAnsi="Menlo" w:cs="Menlo"/>
          <w:sz w:val="18"/>
          <w:szCs w:val="18"/>
        </w:rPr>
        <w:t xml:space="preserve">NGROK_AUTHTOKEN</w:t>
      </w:r>
      <w:r>
        <w:t xml:space="preserve">, never prints the token, performs no external inference, and shuts down the UI and tunnel with the container. A real tunnel rehearsal became available in under 60 seconds, well inside the ten-minute limit.</w:t>
      </w:r>
    </w:p>
    <w:p>
      <w:pPr>
        <w:pStyle w:val="Heading2"/>
        <w:spacing w:before="250" w:after="80"/>
      </w:pPr>
      <w:r>
        <w:t xml:space="preserve">12. What worked &amp; What didn't work?</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4500"/>
        <w:gridCol w:w="4500"/>
      </w:tblGrid>
      <w:tr>
        <w:trPr>
          <w:cantSplit/>
        </w:trPr>
        <w:tc>
          <w:tcPr>
            <w:tcW w:w="4500" w:type="dxa"/>
            <w:shd w:val="clear" w:color="auto" w:fill="EAF0F7"/>
          </w:tcPr>
          <w:p>
            <w:pPr>
              <w:pStyle w:val="Compact"/>
              <w:spacing w:after="20"/>
            </w:pPr>
            <w:r>
              <w:rPr>
                <w:b/>
                <w:bCs/>
              </w:rPr>
              <w:t xml:space="preserve">Worked</w:t>
            </w:r>
          </w:p>
        </w:tc>
        <w:tc>
          <w:tcPr>
            <w:tcW w:w="4500" w:type="dxa"/>
            <w:shd w:val="clear" w:color="auto" w:fill="EAF0F7"/>
          </w:tcPr>
          <w:p>
            <w:pPr>
              <w:pStyle w:val="Compact"/>
              <w:spacing w:after="20"/>
            </w:pPr>
            <w:r>
              <w:rPr>
                <w:b/>
                <w:bCs/>
              </w:rPr>
              <w:t xml:space="preserve">Did not work</w:t>
            </w:r>
          </w:p>
        </w:tc>
      </w:tr>
      <w:tr>
        <w:trPr>
          <w:cantSplit/>
        </w:trPr>
        <w:tc>
          <w:tcPr>
            <w:tcW w:w="4500" w:type="dxa"/>
          </w:tcPr>
          <w:p>
            <w:pPr>
              <w:pStyle w:val="Compact"/>
              <w:ind w:left="280" w:hanging="180"/>
              <w:spacing w:after="20"/>
            </w:pPr>
            <w:r>
              <w:t xml:space="preserve">• </w:t>
            </w:r>
            <w:r>
              <w:t xml:space="preserve">Export normalization: marker coverage 46.9% to 0.45%.</w:t>
            </w:r>
          </w:p>
          <w:p>
            <w:pPr>
              <w:pStyle w:val="Compact"/>
              <w:ind w:left="280" w:hanging="180"/>
              <w:spacing w:after="20"/>
            </w:pPr>
            <w:r>
              <w:t xml:space="preserve">• </w:t>
            </w:r>
            <w:r>
              <w:t xml:space="preserve">Gender leak fix: +0.0118 on submitted BERTurk.</w:t>
            </w:r>
          </w:p>
          <w:p>
            <w:pPr>
              <w:pStyle w:val="Compact"/>
              <w:ind w:left="280" w:hanging="180"/>
              <w:spacing w:after="20"/>
            </w:pPr>
            <w:r>
              <w:t xml:space="preserve">• </w:t>
            </w:r>
            <w:r>
              <w:t>Full judge labeling: 0.987 precision in a blind cross-model audit.</w:t>
            </w:r>
          </w:p>
          <w:p>
            <w:pPr>
              <w:pStyle w:val="Compact"/>
              <w:ind w:left="280" w:hanging="180"/>
              <w:spacing w:after="20"/>
            </w:pPr>
            <w:r>
              <w:t xml:space="preserve">• </w:t>
            </w:r>
            <w:r>
              <w:t xml:space="preserve">Judge extras: +0.0224, the largest data-ladder gain.</w:t>
            </w:r>
          </w:p>
          <w:p>
            <w:pPr>
              <w:pStyle w:val="Compact"/>
              <w:ind w:left="280" w:hanging="180"/>
              <w:spacing w:after="20"/>
            </w:pPr>
            <w:r>
              <w:t xml:space="preserve">• </w:t>
            </w:r>
            <w:r>
              <w:t xml:space="preserve">Attribute cleaning: 15-17% fewer tokens and up to +0.0155 F1.</w:t>
            </w:r>
          </w:p>
          <w:p>
            <w:pPr>
              <w:pStyle w:val="Compact"/>
              <w:ind w:left="280" w:hanging="180"/>
              <w:spacing w:after="20"/>
            </w:pPr>
            <w:r>
              <w:t xml:space="preserve">• </w:t>
            </w:r>
            <w:r>
              <w:t xml:space="preserve">Ordinal calibration: +0.0084 public F1 over argmax.</w:t>
            </w:r>
          </w:p>
          <w:p>
            <w:pPr>
              <w:pStyle w:val="Compact"/>
              <w:ind w:left="280" w:hanging="180"/>
              <w:spacing w:after="20"/>
            </w:pPr>
            <w:r>
              <w:t xml:space="preserve">• </w:t>
            </w:r>
            <w:r>
              <w:t xml:space="preserve">Parallel data path and thread control: about 4,500 rows/s with exact output parity.</w:t>
            </w:r>
            <w:r>
              <w:br/>
            </w:r>
            <w:r>
              <w:t>• Retrieval near-miss recipe: passed the adversarial gate that rule-only mining could not (0.798 to 0.728).</w:t>
            </w:r>
          </w:p>
        </w:tc>
        <w:tc>
          <w:tcPr>
            <w:tcW w:w="4500" w:type="dxa"/>
          </w:tcPr>
          <w:p>
            <w:pPr>
              <w:pStyle w:val="Compact"/>
              <w:ind w:left="280" w:hanging="180"/>
              <w:spacing w:after="20"/>
            </w:pPr>
            <w:r>
              <w:t xml:space="preserve">• </w:t>
            </w:r>
            <w:r>
              <w:t xml:space="preserve">Cosine-band mining: only 6-21% irrelevant yield.</w:t>
            </w:r>
          </w:p>
          <w:p>
            <w:pPr>
              <w:pStyle w:val="Compact"/>
              <w:ind w:left="280" w:hanging="180"/>
              <w:spacing w:after="20"/>
            </w:pPr>
            <w:r>
              <w:t xml:space="preserve">• </w:t>
            </w:r>
            <w:r>
              <w:t xml:space="preserve">Confusion-band mining: adversarial AUC 0.9101.</w:t>
            </w:r>
          </w:p>
          <w:p>
            <w:pPr>
              <w:pStyle w:val="Compact"/>
              <w:ind w:left="280" w:hanging="180"/>
              <w:spacing w:after="20"/>
            </w:pPr>
            <w:r>
              <w:t xml:space="preserve">• </w:t>
            </w:r>
            <w:r>
              <w:t xml:space="preserve">Rule labels: about 11% expected contamination in an early set.</w:t>
            </w:r>
          </w:p>
          <w:p>
            <w:pPr>
              <w:pStyle w:val="Compact"/>
              <w:ind w:left="280" w:hanging="180"/>
              <w:spacing w:after="20"/>
            </w:pPr>
            <w:r>
              <w:t xml:space="preserve">• </w:t>
            </w:r>
            <w:r>
              <w:t xml:space="preserve">Distillation: label quality mattered more than teacher complexity.</w:t>
            </w:r>
          </w:p>
          <w:p>
            <w:pPr>
              <w:pStyle w:val="Compact"/>
              <w:ind w:left="280" w:hanging="180"/>
              <w:spacing w:after="20"/>
            </w:pPr>
            <w:r>
              <w:t xml:space="preserve">• </w:t>
            </w:r>
            <w:r>
              <w:t xml:space="preserve">Two-model cascade: no quality-speed sweet spot.</w:t>
            </w:r>
          </w:p>
          <w:p>
            <w:pPr>
              <w:pStyle w:val="Compact"/>
              <w:ind w:left="280" w:hanging="180"/>
              <w:spacing w:after="20"/>
            </w:pPr>
            <w:r>
              <w:t xml:space="preserve">• </w:t>
            </w:r>
            <w:r>
              <w:t xml:space="preserve">Six-layer pruning: 0.7991 macro-F1.</w:t>
            </w:r>
          </w:p>
          <w:p>
            <w:pPr>
              <w:pStyle w:val="Compact"/>
              <w:ind w:left="280" w:hanging="180"/>
              <w:spacing w:after="20"/>
            </w:pPr>
            <w:r>
              <w:t xml:space="preserve">• </w:t>
            </w:r>
            <w:r>
              <w:rPr>
                <w:rFonts w:ascii="Menlo" w:hAnsi="Menlo" w:cs="Menlo"/>
                <w:sz w:val="18"/>
                <w:szCs w:val="18"/>
              </w:rPr>
              <w:t xml:space="preserve">torch.compile</w:t>
            </w:r>
            <w:r>
              <w:t xml:space="preserve">, INT8, and TensorRT: negative or flat end-to-end gains.</w:t>
            </w:r>
            <w:r>
              <w:br/>
            </w:r>
            <w:r>
              <w:t>• Recipe variants on BERTurk: 9 epochs -0.0057, LR 2e-5 -0.0031, uncased -0.0035, brand-sink augmentation -0.0041, query-glue and typo augmentation within noise.</w:t>
            </w:r>
            <w:r>
              <w:br/>
            </w:r>
            <w:r>
              <w:t>• A batch-quantile decision rule scored higher on HOLDOUT (0.8461 vs 0.8385) but depends on batch statistics; rejected to keep every label row-independent.</w:t>
            </w:r>
            <w:r>
              <w:br/>
            </w:r>
            <w:r>
              <w:t>• Fixing the brand = genel markalar export artifact (11,243 rows, none relevant): brand-dropout sinks at 5% and 10% stayed inside seed noise, so it remains a documented, unfixed limitation.</w:t>
            </w:r>
          </w:p>
        </w:tc>
      </w:tr>
    </w:tbl>
    <w:p>
      <w:pPr>
        <w:pStyle w:val="Heading2"/>
        <w:spacing w:before="250" w:after="80"/>
      </w:pPr>
      <w:r>
        <w:t xml:space="preserve">13. Project development environment specifications (Hardware &amp; Software)</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4500"/>
        <w:gridCol w:w="4500"/>
      </w:tblGrid>
      <w:tr>
        <w:trPr>
          <w:cantSplit/>
        </w:trPr>
        <w:tc>
          <w:tcPr>
            <w:tcW w:w="4500" w:type="dxa"/>
            <w:shd w:val="clear" w:color="auto" w:fill="EAF0F7"/>
          </w:tcPr>
          <w:p>
            <w:pPr>
              <w:pStyle w:val="Compact"/>
              <w:spacing w:after="20"/>
            </w:pPr>
            <w:r>
              <w:rPr>
                <w:b/>
                <w:bCs/>
              </w:rPr>
              <w:t xml:space="preserve">Area</w:t>
            </w:r>
          </w:p>
        </w:tc>
        <w:tc>
          <w:tcPr>
            <w:tcW w:w="4500" w:type="dxa"/>
            <w:shd w:val="clear" w:color="auto" w:fill="EAF0F7"/>
          </w:tcPr>
          <w:p>
            <w:pPr>
              <w:pStyle w:val="Compact"/>
              <w:spacing w:after="20"/>
            </w:pPr>
            <w:r>
              <w:rPr>
                <w:b/>
                <w:bCs/>
              </w:rPr>
              <w:t xml:space="preserve">Specification</w:t>
            </w:r>
          </w:p>
        </w:tc>
      </w:tr>
      <w:tr>
        <w:trPr>
          <w:cantSplit/>
        </w:trPr>
        <w:tc>
          <w:tcPr>
            <w:tcW w:w="4500" w:type="dxa"/>
          </w:tcPr>
          <w:p>
            <w:pPr>
              <w:pStyle w:val="Compact"/>
              <w:spacing w:after="20"/>
            </w:pPr>
            <w:r>
              <w:t xml:space="preserve">Primary machine</w:t>
            </w:r>
          </w:p>
        </w:tc>
        <w:tc>
          <w:tcPr>
            <w:tcW w:w="4500" w:type="dxa"/>
          </w:tcPr>
          <w:p>
            <w:pPr>
              <w:pStyle w:val="Compact"/>
              <w:spacing w:after="20"/>
            </w:pPr>
            <w:r>
              <w:t xml:space="preserve">Debian 12, x86_64, 1 NVIDIA A100-SXM4 40 GB, 12 vCPU, 83 GB RAM, driver 580.126.20.</w:t>
            </w:r>
          </w:p>
        </w:tc>
      </w:tr>
      <w:tr>
        <w:trPr>
          <w:cantSplit/>
        </w:trPr>
        <w:tc>
          <w:tcPr>
            <w:tcW w:w="4500" w:type="dxa"/>
          </w:tcPr>
          <w:p>
            <w:pPr>
              <w:pStyle w:val="Compact"/>
              <w:spacing w:after="20"/>
            </w:pPr>
            <w:r>
              <w:t xml:space="preserve">Development stack</w:t>
            </w:r>
          </w:p>
        </w:tc>
        <w:tc>
          <w:tcPr>
            <w:tcW w:w="4500" w:type="dxa"/>
          </w:tcPr>
          <w:p>
            <w:pPr>
              <w:pStyle w:val="Compact"/>
              <w:spacing w:after="20"/>
            </w:pPr>
            <w:r>
              <w:t xml:space="preserve">Python 3.11, PyTorch 2.10.0+cu128, Transformers 4.57.6, Tokenizers 0.22.1, Safetensors 0.6.2, NumPy, pandas, and scikit-learn for analysis.</w:t>
            </w:r>
          </w:p>
        </w:tc>
      </w:tr>
      <w:tr>
        <w:trPr>
          <w:cantSplit/>
        </w:trPr>
        <w:tc>
          <w:tcPr>
            <w:tcW w:w="4500" w:type="dxa"/>
          </w:tcPr>
          <w:p>
            <w:pPr>
              <w:pStyle w:val="Compact"/>
              <w:spacing w:after="20"/>
            </w:pPr>
            <w:r>
              <w:t xml:space="preserve">Submission image</w:t>
            </w:r>
          </w:p>
        </w:tc>
        <w:tc>
          <w:tcPr>
            <w:tcW w:w="4500" w:type="dxa"/>
          </w:tcPr>
          <w:p>
            <w:pPr>
              <w:pStyle w:val="Compact"/>
              <w:spacing w:after="20"/>
            </w:pPr>
            <w:r>
              <w:t xml:space="preserve">Python 3.12 on digest-pinned </w:t>
            </w:r>
            <w:r>
              <w:rPr>
                <w:rFonts w:ascii="Menlo" w:hAnsi="Menlo" w:cs="Menlo"/>
                <w:sz w:val="18"/>
                <w:szCs w:val="18"/>
              </w:rPr>
              <w:t xml:space="preserve">pytorch/pytorch:2.10.0-cuda12.8-cudnn9-runtime</w:t>
            </w:r>
            <w:r>
              <w:t xml:space="preserve">; exact dependency pins; 8.69 GB image.</w:t>
            </w:r>
          </w:p>
        </w:tc>
      </w:tr>
      <w:tr>
        <w:trPr>
          <w:cantSplit/>
        </w:trPr>
        <w:tc>
          <w:tcPr>
            <w:tcW w:w="4500" w:type="dxa"/>
          </w:tcPr>
          <w:p>
            <w:pPr>
              <w:pStyle w:val="Compact"/>
              <w:spacing w:after="20"/>
            </w:pPr>
            <w:r>
              <w:t xml:space="preserve">Model asset</w:t>
            </w:r>
          </w:p>
        </w:tc>
        <w:tc>
          <w:tcPr>
            <w:tcW w:w="4500" w:type="dxa"/>
          </w:tcPr>
          <w:p>
            <w:pPr>
              <w:pStyle w:val="Compact"/>
              <w:spacing w:after="20"/>
            </w:pPr>
            <w:r>
              <w:t xml:space="preserve">369 MB bf16 Safetensors file, checksum </w:t>
            </w:r>
            <w:r>
              <w:rPr>
                <w:rFonts w:ascii="Menlo" w:hAnsi="Menlo" w:cs="Menlo"/>
                <w:sz w:val="18"/>
                <w:szCs w:val="18"/>
              </w:rPr>
              <w:t xml:space="preserve">2a0d4c78...e191</w:t>
            </w:r>
            <w:r>
              <w:t xml:space="preserve">.</w:t>
            </w:r>
          </w:p>
        </w:tc>
      </w:tr>
      <w:tr>
        <w:trPr>
          <w:cantSplit/>
        </w:trPr>
        <w:tc>
          <w:tcPr>
            <w:tcW w:w="4500" w:type="dxa"/>
          </w:tcPr>
          <w:p>
            <w:pPr>
              <w:pStyle w:val="Compact"/>
              <w:spacing w:after="20"/>
            </w:pPr>
            <w:r>
              <w:t xml:space="preserve">External development service</w:t>
            </w:r>
          </w:p>
        </w:tc>
        <w:tc>
          <w:tcPr>
            <w:tcW w:w="4500" w:type="dxa"/>
          </w:tcPr>
          <w:p>
            <w:pPr>
              <w:pStyle w:val="Compact"/>
              <w:spacing w:after="20"/>
            </w:pPr>
            <w:r>
              <w:t>OpenRouter with Gemini 3.7 Flash for mined-candidate labels; Anthropic Claude (Claude Code agents) for the blind 300-pair audit. Development only; no runtime network use.</w:t>
            </w:r>
          </w:p>
        </w:tc>
      </w:tr>
    </w:tbl>
    <w:p>
      <w:pPr>
        <w:pStyle w:val="Heading2"/>
        <w:spacing w:before="250" w:after="80"/>
      </w:pPr>
      <w:r>
        <w:t>14. Ablation Study (How effective was each stage of the solution on its own?)</w:t>
      </w:r>
    </w:p>
    <w:p>
      <w:pPr>
        <w:pStyle w:val="BodyText"/>
        <w:spacing w:after="70"/>
      </w:pPr>
      <w:r>
        <w:t xml:space="preserve">All DEV figures below use query-disjoint out-of-fold evaluation. Each comparison changes one component unless noted.</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2250"/>
        <w:gridCol w:w="2250"/>
        <w:gridCol w:w="2250"/>
        <w:gridCol w:w="2250"/>
      </w:tblGrid>
      <w:tr>
        <w:trPr>
          <w:cantSplit/>
        </w:trPr>
        <w:tc>
          <w:tcPr>
            <w:tcW w:w="2250" w:type="dxa"/>
            <w:shd w:val="clear" w:color="auto" w:fill="EAF0F7"/>
          </w:tcPr>
          <w:p>
            <w:pPr>
              <w:pStyle w:val="Compact"/>
              <w:spacing w:after="20"/>
            </w:pPr>
            <w:r>
              <w:rPr>
                <w:b/>
                <w:bCs/>
              </w:rPr>
              <w:t xml:space="preserve">Change</w:t>
            </w:r>
          </w:p>
        </w:tc>
        <w:tc>
          <w:tcPr>
            <w:tcW w:w="2250" w:type="dxa"/>
            <w:shd w:val="clear" w:color="auto" w:fill="EAF0F7"/>
          </w:tcPr>
          <w:p>
            <w:pPr>
              <w:pStyle w:val="Compact"/>
              <w:spacing w:after="20"/>
            </w:pPr>
            <w:r>
              <w:rPr>
                <w:b/>
                <w:bCs/>
              </w:rPr>
              <w:t xml:space="preserve">Before</w:t>
            </w:r>
          </w:p>
        </w:tc>
        <w:tc>
          <w:tcPr>
            <w:tcW w:w="2250" w:type="dxa"/>
            <w:shd w:val="clear" w:color="auto" w:fill="EAF0F7"/>
          </w:tcPr>
          <w:p>
            <w:pPr>
              <w:pStyle w:val="Compact"/>
              <w:spacing w:after="20"/>
            </w:pPr>
            <w:r>
              <w:rPr>
                <w:b/>
                <w:bCs/>
              </w:rPr>
              <w:t xml:space="preserve">After</w:t>
            </w:r>
          </w:p>
        </w:tc>
        <w:tc>
          <w:tcPr>
            <w:tcW w:w="2250" w:type="dxa"/>
            <w:shd w:val="clear" w:color="auto" w:fill="EAF0F7"/>
          </w:tcPr>
          <w:p>
            <w:pPr>
              <w:pStyle w:val="Compact"/>
              <w:spacing w:after="20"/>
            </w:pPr>
            <w:r>
              <w:rPr>
                <w:b/>
                <w:bCs/>
              </w:rPr>
              <w:t xml:space="preserve">Effect</w:t>
            </w:r>
          </w:p>
        </w:tc>
      </w:tr>
      <w:tr>
        <w:trPr>
          <w:cantSplit/>
        </w:trPr>
        <w:tc>
          <w:tcPr>
            <w:tcW w:w="2250" w:type="dxa"/>
          </w:tcPr>
          <w:p>
            <w:pPr>
              <w:pStyle w:val="Compact"/>
              <w:spacing w:after="20"/>
            </w:pPr>
            <w:r>
              <w:t xml:space="preserve">Attribute cleaning v2</w:t>
            </w:r>
          </w:p>
        </w:tc>
        <w:tc>
          <w:tcPr>
            <w:tcW w:w="2250" w:type="dxa"/>
          </w:tcPr>
          <w:p>
            <w:pPr>
              <w:pStyle w:val="Compact"/>
              <w:spacing w:after="20"/>
            </w:pPr>
            <w:r>
              <w:t xml:space="preserve">0.8149</w:t>
            </w:r>
          </w:p>
        </w:tc>
        <w:tc>
          <w:tcPr>
            <w:tcW w:w="2250" w:type="dxa"/>
          </w:tcPr>
          <w:p>
            <w:pPr>
              <w:pStyle w:val="Compact"/>
              <w:spacing w:after="20"/>
            </w:pPr>
            <w:r>
              <w:t xml:space="preserve">0.8217</w:t>
            </w:r>
          </w:p>
        </w:tc>
        <w:tc>
          <w:tcPr>
            <w:tcW w:w="2250" w:type="dxa"/>
          </w:tcPr>
          <w:p>
            <w:pPr>
              <w:pStyle w:val="Compact"/>
              <w:spacing w:after="20"/>
            </w:pPr>
            <w:r>
              <w:t xml:space="preserve">+0.0068</w:t>
            </w:r>
          </w:p>
        </w:tc>
      </w:tr>
      <w:tr>
        <w:trPr>
          <w:cantSplit/>
        </w:trPr>
        <w:tc>
          <w:tcPr>
            <w:tcW w:w="2250" w:type="dxa"/>
          </w:tcPr>
          <w:p>
            <w:pPr>
              <w:pStyle w:val="Compact"/>
              <w:spacing w:after="20"/>
            </w:pPr>
            <w:r>
              <w:t xml:space="preserve">Add judge semi/relevant extras</w:t>
            </w:r>
          </w:p>
        </w:tc>
        <w:tc>
          <w:tcPr>
            <w:tcW w:w="2250" w:type="dxa"/>
          </w:tcPr>
          <w:p>
            <w:pPr>
              <w:pStyle w:val="Compact"/>
              <w:spacing w:after="20"/>
            </w:pPr>
            <w:r>
              <w:t xml:space="preserve">0.8217</w:t>
            </w:r>
          </w:p>
        </w:tc>
        <w:tc>
          <w:tcPr>
            <w:tcW w:w="2250" w:type="dxa"/>
          </w:tcPr>
          <w:p>
            <w:pPr>
              <w:pStyle w:val="Compact"/>
              <w:spacing w:after="20"/>
            </w:pPr>
            <w:r>
              <w:t xml:space="preserve">0.8441</w:t>
            </w:r>
          </w:p>
        </w:tc>
        <w:tc>
          <w:tcPr>
            <w:tcW w:w="2250" w:type="dxa"/>
          </w:tcPr>
          <w:p>
            <w:pPr>
              <w:pStyle w:val="Compact"/>
              <w:spacing w:after="20"/>
            </w:pPr>
            <w:r>
              <w:t xml:space="preserve">+0.0224</w:t>
            </w:r>
          </w:p>
        </w:tc>
      </w:tr>
      <w:tr>
        <w:trPr>
          <w:cantSplit/>
        </w:trPr>
        <w:tc>
          <w:tcPr>
            <w:tcW w:w="2250" w:type="dxa"/>
          </w:tcPr>
          <w:p>
            <w:pPr>
              <w:pStyle w:val="Compact"/>
              <w:spacing w:after="20"/>
            </w:pPr>
            <w:r>
              <w:t xml:space="preserve">Add earlier validated judge-label store</w:t>
            </w:r>
          </w:p>
        </w:tc>
        <w:tc>
          <w:tcPr>
            <w:tcW w:w="2250" w:type="dxa"/>
          </w:tcPr>
          <w:p>
            <w:pPr>
              <w:pStyle w:val="Compact"/>
              <w:spacing w:after="20"/>
            </w:pPr>
            <w:r>
              <w:t xml:space="preserve">0.8441</w:t>
            </w:r>
          </w:p>
        </w:tc>
        <w:tc>
          <w:tcPr>
            <w:tcW w:w="2250" w:type="dxa"/>
          </w:tcPr>
          <w:p>
            <w:pPr>
              <w:pStyle w:val="Compact"/>
              <w:spacing w:after="20"/>
            </w:pPr>
            <w:r>
              <w:t xml:space="preserve">0.8529</w:t>
            </w:r>
          </w:p>
        </w:tc>
        <w:tc>
          <w:tcPr>
            <w:tcW w:w="2250" w:type="dxa"/>
          </w:tcPr>
          <w:p>
            <w:pPr>
              <w:pStyle w:val="Compact"/>
              <w:spacing w:after="20"/>
            </w:pPr>
            <w:r>
              <w:t xml:space="preserve">+0.0088</w:t>
            </w:r>
          </w:p>
        </w:tc>
      </w:tr>
      <w:tr>
        <w:trPr>
          <w:cantSplit/>
        </w:trPr>
        <w:tc>
          <w:tcPr>
            <w:tcW w:w="2250" w:type="dxa"/>
          </w:tcPr>
          <w:p>
            <w:pPr>
              <w:pStyle w:val="Compact"/>
              <w:spacing w:after="20"/>
            </w:pPr>
            <w:r>
              <w:t xml:space="preserve">Three to six epochs on submitted BERTurk</w:t>
            </w:r>
          </w:p>
        </w:tc>
        <w:tc>
          <w:tcPr>
            <w:tcW w:w="2250" w:type="dxa"/>
          </w:tcPr>
          <w:p>
            <w:pPr>
              <w:pStyle w:val="Compact"/>
              <w:spacing w:after="20"/>
            </w:pPr>
            <w:r>
              <w:t xml:space="preserve">0.8372</w:t>
            </w:r>
          </w:p>
        </w:tc>
        <w:tc>
          <w:tcPr>
            <w:tcW w:w="2250" w:type="dxa"/>
          </w:tcPr>
          <w:p>
            <w:pPr>
              <w:pStyle w:val="Compact"/>
              <w:spacing w:after="20"/>
            </w:pPr>
            <w:r>
              <w:t xml:space="preserve">0.8428</w:t>
            </w:r>
          </w:p>
        </w:tc>
        <w:tc>
          <w:tcPr>
            <w:tcW w:w="2250" w:type="dxa"/>
          </w:tcPr>
          <w:p>
            <w:pPr>
              <w:pStyle w:val="Compact"/>
              <w:spacing w:after="20"/>
            </w:pPr>
            <w:r>
              <w:t xml:space="preserve">+0.0056</w:t>
            </w:r>
          </w:p>
        </w:tc>
      </w:tr>
      <w:tr>
        <w:trPr>
          <w:cantSplit/>
        </w:trPr>
        <w:tc>
          <w:tcPr>
            <w:tcW w:w="2250" w:type="dxa"/>
          </w:tcPr>
          <w:p>
            <w:pPr>
              <w:pStyle w:val="Compact"/>
              <w:spacing w:after="20"/>
            </w:pPr>
            <w:r>
              <w:t xml:space="preserve">Leak-free gender retraining on submitted BERTurk</w:t>
            </w:r>
          </w:p>
        </w:tc>
        <w:tc>
          <w:tcPr>
            <w:tcW w:w="2250" w:type="dxa"/>
          </w:tcPr>
          <w:p>
            <w:pPr>
              <w:pStyle w:val="Compact"/>
              <w:spacing w:after="20"/>
            </w:pPr>
            <w:r>
              <w:t xml:space="preserve">0.8428</w:t>
            </w:r>
          </w:p>
        </w:tc>
        <w:tc>
          <w:tcPr>
            <w:tcW w:w="2250" w:type="dxa"/>
          </w:tcPr>
          <w:p>
            <w:pPr>
              <w:pStyle w:val="Compact"/>
              <w:spacing w:after="20"/>
            </w:pPr>
            <w:r>
              <w:t xml:space="preserve">0.8546</w:t>
            </w:r>
          </w:p>
        </w:tc>
        <w:tc>
          <w:tcPr>
            <w:tcW w:w="2250" w:type="dxa"/>
          </w:tcPr>
          <w:p>
            <w:pPr>
              <w:pStyle w:val="Compact"/>
              <w:spacing w:after="20"/>
            </w:pPr>
            <w:r>
              <w:t xml:space="preserve">+0.0118</w:t>
            </w:r>
          </w:p>
        </w:tc>
      </w:tr>
      <w:tr>
        <w:trPr>
          <w:cantSplit/>
        </w:trPr>
        <w:tc>
          <w:tcPr>
            <w:tcW w:w="2250" w:type="dxa"/>
          </w:tcPr>
          <w:p>
            <w:pPr>
              <w:pStyle w:val="Compact"/>
              <w:spacing w:after="20"/>
            </w:pPr>
            <w:r>
              <w:t xml:space="preserve">Ordinal thresholds versus argmax on full public</w:t>
            </w:r>
          </w:p>
        </w:tc>
        <w:tc>
          <w:tcPr>
            <w:tcW w:w="2250" w:type="dxa"/>
          </w:tcPr>
          <w:p>
            <w:pPr>
              <w:pStyle w:val="Compact"/>
              <w:spacing w:after="20"/>
            </w:pPr>
            <w:r>
              <w:t xml:space="preserve">0.8495</w:t>
            </w:r>
          </w:p>
        </w:tc>
        <w:tc>
          <w:tcPr>
            <w:tcW w:w="2250" w:type="dxa"/>
          </w:tcPr>
          <w:p>
            <w:pPr>
              <w:pStyle w:val="Compact"/>
              <w:spacing w:after="20"/>
            </w:pPr>
            <w:r>
              <w:t xml:space="preserve">0.8579</w:t>
            </w:r>
          </w:p>
        </w:tc>
        <w:tc>
          <w:tcPr>
            <w:tcW w:w="2250" w:type="dxa"/>
          </w:tcPr>
          <w:p>
            <w:pPr>
              <w:pStyle w:val="Compact"/>
              <w:spacing w:after="20"/>
            </w:pPr>
            <w:r>
              <w:t xml:space="preserve">+0.0084</w:t>
            </w:r>
          </w:p>
        </w:tc>
      </w:tr>
      <w:tr>
        <w:trPr>
          <w:cantSplit/>
        </w:trPr>
        <w:tc>
          <w:tcPr>
            <w:tcW w:w="2250" w:type="dxa"/>
          </w:tcPr>
          <w:p>
            <w:pPr>
              <w:pStyle w:val="Compact"/>
              <w:spacing w:after="20"/>
            </w:pPr>
            <w:r>
              <w:t xml:space="preserve">Rule-labeled versus fully judged negatives, early paired BERTurk test</w:t>
            </w:r>
          </w:p>
        </w:tc>
        <w:tc>
          <w:tcPr>
            <w:tcW w:w="2250" w:type="dxa"/>
          </w:tcPr>
          <w:p>
            <w:pPr>
              <w:pStyle w:val="Compact"/>
              <w:spacing w:after="20"/>
            </w:pPr>
            <w:r>
              <w:t xml:space="preserve">0.7766</w:t>
            </w:r>
          </w:p>
        </w:tc>
        <w:tc>
          <w:tcPr>
            <w:tcW w:w="2250" w:type="dxa"/>
          </w:tcPr>
          <w:p>
            <w:pPr>
              <w:pStyle w:val="Compact"/>
              <w:spacing w:after="20"/>
            </w:pPr>
            <w:r>
              <w:t xml:space="preserve">0.7920</w:t>
            </w:r>
          </w:p>
        </w:tc>
        <w:tc>
          <w:tcPr>
            <w:tcW w:w="2250" w:type="dxa"/>
          </w:tcPr>
          <w:p>
            <w:pPr>
              <w:pStyle w:val="Compact"/>
              <w:spacing w:after="20"/>
            </w:pPr>
            <w:r>
              <w:t xml:space="preserve">+0.0154</w:t>
            </w:r>
          </w:p>
        </w:tc>
      </w:tr>
    </w:tbl>
    <w:p>
      <w:pPr>
        <w:pStyle w:val="BodyText"/>
        <w:spacing w:after="70"/>
      </w:pPr>
      <w:r>
        <w:t xml:space="preserve">The largest measured gain was admitting the judge's semi-relevant and relevant corrections. The most important risk reduction was export normalization; it is reported through leak metrics rather than macro-F1 because no final model was intentionally trained on contaminated raw text.</w:t>
      </w:r>
    </w:p>
    <w:p>
      <w:pPr>
        <w:pStyle w:val="Heading3"/>
        <w:spacing w:before="140" w:after="50"/>
      </w:pPr>
      <w:r>
        <w:t xml:space="preserve">Serving ablations</w:t>
      </w:r>
    </w:p>
    <w:tbl>
      <w:tblPr>
        <w:tblW w:val="0" w:type="auto"/>
        <w:tblBorders>
          <w:top w:val="single" w:sz="4" w:space="0" w:color="C8D3DF"/>
          <w:left w:val="single" w:sz="4" w:space="0" w:color="C8D3DF"/>
          <w:bottom w:val="single" w:sz="4" w:space="0" w:color="C8D3DF"/>
          <w:right w:val="single" w:sz="4" w:space="0" w:color="C8D3DF"/>
          <w:insideH w:val="single" w:sz="4" w:space="0" w:color="C8D3DF"/>
          <w:insideV w:val="single" w:sz="4" w:space="0" w:color="C8D3DF"/>
        </w:tblBorders>
        <w:tblCellMar>
          <w:top w:w="85" w:type="dxa"/>
          <w:left w:w="85" w:type="dxa"/>
          <w:bottom w:w="85" w:type="dxa"/>
          <w:right w:w="85" w:type="dxa"/>
        </w:tblCellMar>
      </w:tblPr>
      <w:tblGrid>
        <w:gridCol w:w="3000"/>
        <w:gridCol w:w="3000"/>
        <w:gridCol w:w="3000"/>
      </w:tblGrid>
      <w:tr>
        <w:trPr>
          <w:cantSplit/>
        </w:trPr>
        <w:tc>
          <w:tcPr>
            <w:tcW w:w="3000" w:type="dxa"/>
            <w:shd w:val="clear" w:color="auto" w:fill="EAF0F7"/>
          </w:tcPr>
          <w:p>
            <w:pPr>
              <w:pStyle w:val="Compact"/>
              <w:spacing w:after="20"/>
            </w:pPr>
            <w:r>
              <w:rPr>
                <w:b/>
                <w:bCs/>
              </w:rPr>
              <w:t xml:space="preserve">Change</w:t>
            </w:r>
          </w:p>
        </w:tc>
        <w:tc>
          <w:tcPr>
            <w:tcW w:w="3000" w:type="dxa"/>
            <w:shd w:val="clear" w:color="auto" w:fill="EAF0F7"/>
          </w:tcPr>
          <w:p>
            <w:pPr>
              <w:pStyle w:val="Compact"/>
              <w:spacing w:after="20"/>
            </w:pPr>
            <w:r>
              <w:rPr>
                <w:b/>
                <w:bCs/>
              </w:rPr>
              <w:t xml:space="preserve">Measured effect</w:t>
            </w:r>
          </w:p>
        </w:tc>
        <w:tc>
          <w:tcPr>
            <w:tcW w:w="3000" w:type="dxa"/>
            <w:shd w:val="clear" w:color="auto" w:fill="EAF0F7"/>
          </w:tcPr>
          <w:p>
            <w:pPr>
              <w:pStyle w:val="Compact"/>
              <w:spacing w:after="20"/>
            </w:pPr>
            <w:r>
              <w:rPr>
                <w:b/>
                <w:bCs/>
              </w:rPr>
              <w:t xml:space="preserve">Parity condition</w:t>
            </w:r>
          </w:p>
        </w:tc>
      </w:tr>
      <w:tr>
        <w:trPr>
          <w:cantSplit/>
        </w:trPr>
        <w:tc>
          <w:tcPr>
            <w:tcW w:w="3000" w:type="dxa"/>
          </w:tcPr>
          <w:p>
            <w:pPr>
              <w:pStyle w:val="Compact"/>
              <w:spacing w:after="20"/>
            </w:pPr>
            <w:r>
              <w:t xml:space="preserve">Hoist constants from normalization loop</w:t>
            </w:r>
          </w:p>
        </w:tc>
        <w:tc>
          <w:tcPr>
            <w:tcW w:w="3000" w:type="dxa"/>
          </w:tcPr>
          <w:p>
            <w:pPr>
              <w:pStyle w:val="Compact"/>
              <w:spacing w:after="20"/>
            </w:pPr>
            <w:r>
              <w:t xml:space="preserve">Serial normalization: 11.15 s to 3.22 s on 90K rows</w:t>
            </w:r>
          </w:p>
        </w:tc>
        <w:tc>
          <w:tcPr>
            <w:tcW w:w="3000" w:type="dxa"/>
          </w:tcPr>
          <w:p>
            <w:pPr>
              <w:pStyle w:val="Compact"/>
              <w:spacing w:after="20"/>
            </w:pPr>
            <w:r>
              <w:t xml:space="preserve">Identical normalized text</w:t>
            </w:r>
          </w:p>
        </w:tc>
      </w:tr>
      <w:tr>
        <w:trPr>
          <w:cantSplit/>
        </w:trPr>
        <w:tc>
          <w:tcPr>
            <w:tcW w:w="3000" w:type="dxa"/>
          </w:tcPr>
          <w:p>
            <w:pPr>
              <w:pStyle w:val="Compact"/>
              <w:spacing w:after="20"/>
            </w:pPr>
            <w:r>
              <w:t xml:space="preserve">Direct lean model load and lazy imports</w:t>
            </w:r>
          </w:p>
        </w:tc>
        <w:tc>
          <w:tcPr>
            <w:tcW w:w="3000" w:type="dxa"/>
          </w:tcPr>
          <w:p>
            <w:pPr>
              <w:pStyle w:val="Compact"/>
              <w:spacing w:after="20"/>
            </w:pPr>
            <w:r>
              <w:t xml:space="preserve">Script startup: 5.9 s to 0.16 s; model readiness: 6.37 s to 3.44 s</w:t>
            </w:r>
          </w:p>
        </w:tc>
        <w:tc>
          <w:tcPr>
            <w:tcW w:w="3000" w:type="dxa"/>
          </w:tcPr>
          <w:p>
            <w:pPr>
              <w:pStyle w:val="Compact"/>
              <w:spacing w:after="20"/>
            </w:pPr>
            <w:r>
              <w:t xml:space="preserve">Maximum logit difference 1.05e-5; identical labels</w:t>
            </w:r>
          </w:p>
        </w:tc>
      </w:tr>
      <w:tr>
        <w:trPr>
          <w:cantSplit/>
        </w:trPr>
        <w:tc>
          <w:tcPr>
            <w:tcW w:w="3000" w:type="dxa"/>
          </w:tcPr>
          <w:p>
            <w:pPr>
              <w:pStyle w:val="Compact"/>
              <w:spacing w:after="20"/>
            </w:pPr>
            <w:r>
              <w:t xml:space="preserve">Process-parallel normalization and tokenization</w:t>
            </w:r>
          </w:p>
        </w:tc>
        <w:tc>
          <w:tcPr>
            <w:tcW w:w="3000" w:type="dxa"/>
          </w:tcPr>
          <w:p>
            <w:pPr>
              <w:pStyle w:val="Compact"/>
              <w:spacing w:after="20"/>
            </w:pPr>
            <w:r>
              <w:t xml:space="preserve">Earlier 90K projection: about 17.9 s to 11.9 s</w:t>
            </w:r>
          </w:p>
        </w:tc>
        <w:tc>
          <w:tcPr>
            <w:tcW w:w="3000" w:type="dxa"/>
          </w:tcPr>
          <w:p>
            <w:pPr>
              <w:pStyle w:val="Compact"/>
              <w:spacing w:after="20"/>
            </w:pPr>
            <w:r>
              <w:t xml:space="preserve">Byte-identical output</w:t>
            </w:r>
          </w:p>
        </w:tc>
      </w:tr>
      <w:tr>
        <w:trPr>
          <w:cantSplit/>
        </w:trPr>
        <w:tc>
          <w:tcPr>
            <w:tcW w:w="3000" w:type="dxa"/>
          </w:tcPr>
          <w:p>
            <w:pPr>
              <w:pStyle w:val="Compact"/>
              <w:spacing w:after="20"/>
            </w:pPr>
            <w:r>
              <w:t xml:space="preserve">Pin OpenMP and tokenizer threads</w:t>
            </w:r>
          </w:p>
        </w:tc>
        <w:tc>
          <w:tcPr>
            <w:tcW w:w="3000" w:type="dxa"/>
          </w:tcPr>
          <w:p>
            <w:pPr>
              <w:pStyle w:val="Compact"/>
              <w:spacing w:after="20"/>
            </w:pPr>
            <w:r>
              <w:t xml:space="preserve">+5% to +17% depending on checkpoint</w:t>
            </w:r>
          </w:p>
        </w:tc>
        <w:tc>
          <w:tcPr>
            <w:tcW w:w="3000" w:type="dxa"/>
          </w:tcPr>
          <w:p>
            <w:pPr>
              <w:pStyle w:val="Compact"/>
              <w:spacing w:after="20"/>
            </w:pPr>
            <w:r>
              <w:t xml:space="preserve">Zero changed labels</w:t>
            </w:r>
          </w:p>
        </w:tc>
      </w:tr>
      <w:tr>
        <w:trPr>
          <w:cantSplit/>
        </w:trPr>
        <w:tc>
          <w:tcPr>
            <w:tcW w:w="3000" w:type="dxa"/>
          </w:tcPr>
          <w:p>
            <w:pPr>
              <w:pStyle w:val="Compact"/>
              <w:spacing w:after="20"/>
            </w:pPr>
            <w:r>
              <w:t xml:space="preserve">Stable length-bucketed batching</w:t>
            </w:r>
          </w:p>
        </w:tc>
        <w:tc>
          <w:tcPr>
            <w:tcW w:w="3000" w:type="dxa"/>
          </w:tcPr>
          <w:p>
            <w:pPr>
              <w:pStyle w:val="Compact"/>
              <w:spacing w:after="20"/>
            </w:pPr>
            <w:r>
              <w:t xml:space="preserve">Lower padding and predictable GPU work</w:t>
            </w:r>
          </w:p>
        </w:tc>
        <w:tc>
          <w:tcPr>
            <w:tcW w:w="3000" w:type="dxa"/>
          </w:tcPr>
          <w:p>
            <w:pPr>
              <w:pStyle w:val="Compact"/>
              <w:spacing w:after="20"/>
            </w:pPr>
            <w:r>
              <w:t xml:space="preserve">Stable sort and scatter restore exact row order</w:t>
            </w:r>
          </w:p>
        </w:tc>
      </w:tr>
    </w:tbl>
    <w:p>
      <w:pPr>
        <w:pStyle w:val="BodyText"/>
        <w:spacing w:after="70"/>
      </w:pPr>
      <w:r>
        <w:t xml:space="preserve">These results show why the EDA and cleaning work mattered twice: it removed non-transferable label shortcuts and also shortened the sequences served by the final model. Data understanding, model quality, and throughput were treated as one pipeline rather than separate optimization tasks.</w:t>
      </w:r>
    </w:p>
    <w:p>
      <w:pPr>
        <w:pStyle w:val="BodyText"/>
        <w:spacing w:after="70"/>
      </w:pPr>
      <w:r>
        <w:rPr>
          <w:color w:val="526176"/>
          <w:sz w:val="18"/>
          <w:szCs w:val="18"/>
        </w:rPr>
        <w:t xml:space="preserve">Reproducibility details, full experiment history, generated datasets, exact commands, dependency pins, checksums, and known limitations are included in </w:t>
      </w:r>
      <w:r>
        <w:rPr>
          <w:rFonts w:ascii="Menlo" w:hAnsi="Menlo" w:cs="Menlo"/>
          <w:sz w:val="18"/>
          <w:szCs w:val="18"/>
          <w:color w:val="526176"/>
          <w:sz w:val="18"/>
          <w:szCs w:val="18"/>
        </w:rPr>
        <w:t xml:space="preserve">armaterimi_development_dump</w:t>
      </w:r>
      <w:r>
        <w:rPr>
          <w:color w:val="526176"/>
          <w:sz w:val="18"/>
          <w:szCs w:val="18"/>
        </w:rPr>
        <w:t xml:space="preserve"> and </w:t>
      </w:r>
      <w:r>
        <w:rPr>
          <w:rFonts w:ascii="Menlo" w:hAnsi="Menlo" w:cs="Menlo"/>
          <w:sz w:val="18"/>
          <w:szCs w:val="18"/>
          <w:color w:val="526176"/>
          <w:sz w:val="18"/>
          <w:szCs w:val="18"/>
        </w:rPr>
        <w:t xml:space="preserve">armaterimi_docker/README.md</w:t>
      </w:r>
      <w:r>
        <w:rPr>
          <w:color w:val="526176"/>
          <w:sz w:val="18"/>
          <w:szCs w:val="18"/>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ns0:SharedDoc>false</ns0:SharedDoc>
  <ns0:HyperlinksChanged>false</ns0:HyperlinksChanged>
  <ns0:AppVersion>12.0000</ns0:AppVersion>
  <ns0:LinksUpToDate>false</ns0:LinksUpToDate>
  <ns0:Application>Microsoft Word 12.0.0</ns0:Application>
  <ns0:Template>Normal.dotm</ns0:Template>
  <ns0:DocSecurity>0</ns0:DocSecurity>
  <ns0:TotalTime>6</ns0:TotalTime>
  <ns0:ScaleCrop>false</ns0:ScaleCrop>
</ns0:Properties>
</file>

<file path=docProps/core.xml><?xml version="1.0" encoding="utf-8"?>
<cp:coreProperties xmlns:cp="http://schemas.openxmlformats.org/package/2006/metadata/core-properties" xmlns:dc="http://purl.org/dc/elements/1.1/" xmlns:dcterms="http://purl.org/dc/terms/" xmlns:xsi="http://www.w3.org/2001/XMLSchema-instance">
  <dc:title>ArmaTerimi | Trendyol x TEKNOFEST 2026 | Stage 2 Technical Report</dc:title>
  <dc:creator/>
  <cp:keywords/>
  <dcterms:created xsi:type="dcterms:W3CDTF">2026-08-28T14:15:16Z</dcterms:created>
  <dcterms:modified xsi:type="dcterms:W3CDTF">2026-08-28T14:15:16Z</dcterms:modified>
</cp:coreProperties>
</file>

<file path=docProps/custom.xml><?xml version="1.0" encoding="utf-8"?>
<Properties xmlns="http://schemas.openxmlformats.org/officeDocument/2006/custom-properties" xmlns:vt="http://schemas.openxmlformats.org/officeDocument/2006/docPropsVTypes"/>
</file>