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Calibri" w:hAnsi="Calibri"/>
          <w:b/>
          <w:color w:val="1480E2"/>
          <w:sz w:val="28"/>
        </w:rPr>
        <w:t>RELATÓRIO EXECUTIVO</w:t>
      </w:r>
    </w:p>
    <w:p>
      <w:pPr>
        <w:jc w:val="center"/>
      </w:pPr>
      <w:r>
        <w:rPr>
          <w:rFonts w:ascii="Calibri" w:hAnsi="Calibri"/>
          <w:b/>
          <w:color w:val="07477D"/>
          <w:sz w:val="56"/>
        </w:rPr>
        <w:t>ESCUTA ORGANIZACIONAL</w:t>
      </w:r>
    </w:p>
    <w:p>
      <w:pPr>
        <w:jc w:val="center"/>
      </w:pPr>
      <w:r>
        <w:rPr>
          <w:rFonts w:ascii="Calibri" w:hAnsi="Calibri"/>
          <w:color w:val="1FB3D7"/>
          <w:sz w:val="32"/>
        </w:rPr>
        <w:t>Dados para Decisão | Falqon 2025</w:t>
      </w:r>
    </w:p>
    <w:p>
      <w:pPr>
        <w:spacing w:before="400"/>
        <w:jc w:val="center"/>
      </w:pPr>
      <w:r>
        <w:drawing>
          <wp:inline xmlns:a="http://schemas.openxmlformats.org/drawingml/2006/main" xmlns:pic="http://schemas.openxmlformats.org/drawingml/2006/picture">
            <wp:extent cx="4320000" cy="2878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78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  <w:pBdr>
          <w:bottom w:val="single" w:sz="8" w:space="4" w:color="1480E2"/>
        </w:pBdr>
      </w:pPr>
    </w:p>
    <w:p>
      <w:pPr>
        <w:spacing w:before="240"/>
        <w:jc w:val="center"/>
      </w:pPr>
      <w:r>
        <w:rPr>
          <w:rFonts w:ascii="Calibri" w:hAnsi="Calibri"/>
          <w:b/>
          <w:color w:val="02243F"/>
          <w:sz w:val="28"/>
        </w:rPr>
        <w:t>FALQON | Gestão de Dados</w:t>
      </w:r>
      <w:r>
        <w:rPr>
          <w:rFonts w:ascii="Calibri" w:hAnsi="Calibri"/>
          <w:b w:val="0"/>
          <w:color w:val="07477D"/>
          <w:sz w:val="20"/>
        </w:rPr>
        <w:br/>
        <w:t>Dezembro 2025 / Janeiro 2026</w:t>
      </w:r>
      <w:r>
        <w:rPr>
          <w:rFonts w:ascii="Calibri" w:hAnsi="Calibri"/>
          <w:b w:val="0"/>
          <w:color w:val="1480E2"/>
          <w:sz w:val="20"/>
        </w:rPr>
        <w:br/>
        <w:t>CIH — Consultoria Impacto Humano</w:t>
      </w:r>
      <w:r>
        <w:rPr>
          <w:rFonts w:ascii="Calibri" w:hAnsi="Calibri"/>
          <w:b w:val="0"/>
          <w:color w:val="07477D"/>
          <w:sz w:val="20"/>
        </w:rPr>
        <w:br/>
        <w:t>Eleine Passos</w:t>
      </w:r>
      <w:r>
        <w:rPr>
          <w:rFonts w:ascii="Calibri" w:hAnsi="Calibri"/>
          <w:b/>
          <w:color w:val="D32F2F"/>
          <w:sz w:val="16"/>
        </w:rPr>
        <w:br/>
        <w:br/>
        <w:t>CONFIDENCIAL — Destinado exclusivamente à Diretoria</w:t>
      </w:r>
    </w:p>
    <w:p>
      <w:r>
        <w:br w:type="page"/>
      </w:r>
    </w:p>
    <w:p>
      <w:pPr>
        <w:pStyle w:val="Heading1"/>
      </w:pPr>
      <w:r>
        <w:t>Panorama em Números</w:t>
      </w:r>
    </w:p>
    <w:p>
      <w:pPr>
        <w:spacing w:after="120"/>
        <w:jc w:val="left"/>
      </w:pPr>
      <w:r>
        <w:rPr>
          <w:rFonts w:ascii="Calibri" w:hAnsi="Calibri"/>
          <w:b w:val="0"/>
          <w:color w:val="07477D"/>
          <w:sz w:val="20"/>
        </w:rPr>
        <w:t>Uma visão rápida dos principais indicadores da escuta organizacional com 14 colaboradores.</w:t>
      </w:r>
    </w:p>
    <w:p>
      <w:pPr>
        <w:spacing w:before="40" w:after="40"/>
        <w:jc w:val="left"/>
      </w:pPr>
      <w:r>
        <w:rPr>
          <w:rFonts w:ascii="Calibri" w:hAnsi="Calibri"/>
          <w:b/>
          <w:color w:val="1480E2"/>
          <w:sz w:val="40"/>
        </w:rPr>
        <w:t xml:space="preserve">  14  </w:t>
      </w:r>
      <w:r>
        <w:rPr>
          <w:rFonts w:ascii="Calibri" w:hAnsi="Calibri"/>
          <w:color w:val="02243F"/>
          <w:sz w:val="20"/>
        </w:rPr>
        <w:t xml:space="preserve">  colaboradores ouvidos</w:t>
      </w:r>
      <w:r>
        <w:rPr>
          <w:rFonts w:ascii="Calibri" w:hAnsi="Calibri"/>
          <w:i/>
          <w:color w:val="07477D"/>
          <w:sz w:val="16"/>
        </w:rPr>
        <w:br/>
        <w:t xml:space="preserve">      Amostra representativa: 6 áreas, de 8 meses a +2 anos de empresa</w:t>
      </w:r>
    </w:p>
    <w:p>
      <w:pPr>
        <w:spacing w:before="40" w:after="40"/>
        <w:jc w:val="left"/>
      </w:pPr>
      <w:r>
        <w:rPr>
          <w:rFonts w:ascii="Calibri" w:hAnsi="Calibri"/>
          <w:b/>
          <w:color w:val="D32F2F"/>
          <w:sz w:val="40"/>
        </w:rPr>
        <w:t xml:space="preserve">  43%  </w:t>
      </w:r>
      <w:r>
        <w:rPr>
          <w:rFonts w:ascii="Calibri" w:hAnsi="Calibri"/>
          <w:color w:val="02243F"/>
          <w:sz w:val="20"/>
        </w:rPr>
        <w:t xml:space="preserve">  citaram comunicação como problema #1</w:t>
      </w:r>
      <w:r>
        <w:rPr>
          <w:rFonts w:ascii="Calibri" w:hAnsi="Calibri"/>
          <w:i/>
          <w:color w:val="07477D"/>
          <w:sz w:val="16"/>
        </w:rPr>
        <w:br/>
        <w:t xml:space="preserve">      6 de 14 entrevistados — tema com maior carga emocional</w:t>
      </w:r>
    </w:p>
    <w:p>
      <w:pPr>
        <w:spacing w:before="40" w:after="40"/>
        <w:jc w:val="left"/>
      </w:pPr>
      <w:r>
        <w:rPr>
          <w:rFonts w:ascii="Calibri" w:hAnsi="Calibri"/>
          <w:b/>
          <w:color w:val="2E7D32"/>
          <w:sz w:val="40"/>
        </w:rPr>
        <w:t xml:space="preserve">  57%  </w:t>
      </w:r>
      <w:r>
        <w:rPr>
          <w:rFonts w:ascii="Calibri" w:hAnsi="Calibri"/>
          <w:color w:val="02243F"/>
          <w:sz w:val="20"/>
        </w:rPr>
        <w:t xml:space="preserve">  querem crescer com a Falqon em 2026</w:t>
      </w:r>
      <w:r>
        <w:rPr>
          <w:rFonts w:ascii="Calibri" w:hAnsi="Calibri"/>
          <w:i/>
          <w:color w:val="07477D"/>
          <w:sz w:val="16"/>
        </w:rPr>
        <w:br/>
        <w:t xml:space="preserve">      8 de 14 demonstram otimismo cauteloso — condicionado a mudanças concretas</w:t>
      </w:r>
    </w:p>
    <w:p>
      <w:pPr>
        <w:spacing w:before="40" w:after="40"/>
        <w:jc w:val="left"/>
      </w:pPr>
      <w:r>
        <w:rPr>
          <w:rFonts w:ascii="Calibri" w:hAnsi="Calibri"/>
          <w:b/>
          <w:color w:val="F57C00"/>
          <w:sz w:val="40"/>
        </w:rPr>
        <w:t xml:space="preserve">  3-5  </w:t>
      </w:r>
      <w:r>
        <w:rPr>
          <w:rFonts w:ascii="Calibri" w:hAnsi="Calibri"/>
          <w:color w:val="02243F"/>
          <w:sz w:val="20"/>
        </w:rPr>
        <w:t xml:space="preserve">  colaboradores em risco de saída</w:t>
      </w:r>
      <w:r>
        <w:rPr>
          <w:rFonts w:ascii="Calibri" w:hAnsi="Calibri"/>
          <w:i/>
          <w:color w:val="07477D"/>
          <w:sz w:val="16"/>
        </w:rPr>
        <w:br/>
        <w:t xml:space="preserve">      1-2 risco ALTO (já buscaram vagas) + 2-3 risco MÉDIO-ALTO</w:t>
      </w:r>
    </w:p>
    <w:p>
      <w:pPr>
        <w:spacing w:before="40" w:after="40"/>
        <w:jc w:val="left"/>
      </w:pPr>
      <w:r>
        <w:rPr>
          <w:rFonts w:ascii="Calibri" w:hAnsi="Calibri"/>
          <w:b/>
          <w:color w:val="1480E2"/>
          <w:sz w:val="40"/>
        </w:rPr>
        <w:t xml:space="preserve">  CRESCIMENTO  </w:t>
      </w:r>
      <w:r>
        <w:rPr>
          <w:rFonts w:ascii="Calibri" w:hAnsi="Calibri"/>
          <w:color w:val="02243F"/>
          <w:sz w:val="20"/>
        </w:rPr>
        <w:t xml:space="preserve">  é a palavra-síntese para 2026</w:t>
      </w:r>
      <w:r>
        <w:rPr>
          <w:rFonts w:ascii="Calibri" w:hAnsi="Calibri"/>
          <w:i/>
          <w:color w:val="07477D"/>
          <w:sz w:val="16"/>
        </w:rPr>
        <w:br/>
        <w:t xml:space="preserve">      Condição: Transparência + Proximidade + Reconhecimento</w:t>
      </w:r>
    </w:p>
    <w:p/>
    <w:p>
      <w:pPr>
        <w:spacing w:before="120" w:after="120"/>
        <w:pBdr>
          <w:left w:val="single" w:sz="24" w:space="8" w:color="1FB3D7"/>
        </w:pBdr>
        <w:shd w:fill="F0F8FF" w:val="clear"/>
        <w:ind w:left="284"/>
      </w:pPr>
      <w:r>
        <w:rPr>
          <w:sz w:val="18"/>
        </w:rPr>
        <w:t xml:space="preserve">💡 </w:t>
      </w:r>
      <w:r>
        <w:rPr>
          <w:rFonts w:ascii="Calibri" w:hAnsi="Calibri"/>
          <w:i/>
          <w:color w:val="02243F"/>
          <w:sz w:val="18"/>
        </w:rPr>
        <w:t>A Falqon, como empresa de gestão de dados, tem um paradoxo: domina a inteligência de dados para clientes, mas não aplica a mesma lógica para gerir sua principal base — as pessoas. Este relatório propõe mudar isso.</w:t>
      </w:r>
    </w:p>
    <w:p>
      <w:r>
        <w:br w:type="page"/>
      </w:r>
    </w:p>
    <w:p>
      <w:pPr>
        <w:pStyle w:val="Heading1"/>
      </w:pPr>
      <w:r>
        <w:t>Termômetro Organizacional</w:t>
      </w:r>
    </w:p>
    <w:p>
      <w:pPr>
        <w:spacing w:after="120"/>
        <w:jc w:val="left"/>
      </w:pPr>
      <w:r>
        <w:rPr>
          <w:rFonts w:ascii="Calibri" w:hAnsi="Calibri"/>
          <w:b w:val="0"/>
          <w:color w:val="07477D"/>
          <w:sz w:val="20"/>
        </w:rPr>
        <w:t>Classificação do estado atual de cada dimensão com base na análise das 14 escutas.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135"/>
        <w:gridCol w:w="3135"/>
        <w:gridCol w:w="3135"/>
      </w:tblGrid>
      <w:tr>
        <w:tc>
          <w:tcPr>
            <w:tcW w:type="dxa" w:w="3969"/>
            <w:shd w:fill="F5F5F5" w:val="clear"/>
          </w:tcPr>
          <w:p>
            <w:r>
              <w:rPr>
                <w:rFonts w:ascii="Calibri" w:hAnsi="Calibri"/>
                <w:b/>
                <w:color w:val="02243F"/>
                <w:sz w:val="18"/>
              </w:rPr>
              <w:t>Comunicação e Transparência</w:t>
            </w:r>
          </w:p>
        </w:tc>
        <w:tc>
          <w:tcPr>
            <w:tcW w:type="dxa" w:w="2835"/>
            <w:shd w:fill="D32F2F" w:val="clear"/>
          </w:tcPr>
          <w:p>
            <w:r>
              <w:rPr>
                <w:color w:val="FFFFFF"/>
                <w:sz w:val="18"/>
              </w:rPr>
              <w:t xml:space="preserve">  </w:t>
            </w:r>
          </w:p>
        </w:tc>
        <w:tc>
          <w:tcPr>
            <w:tcW w:type="dxa" w:w="2268"/>
            <w:shd w:fill="F5F5F5" w:val="clear"/>
          </w:tcPr>
          <w:p>
            <w:r>
              <w:rPr>
                <w:rFonts w:ascii="Calibri" w:hAnsi="Calibri"/>
                <w:b/>
                <w:color w:val="D32F2F"/>
                <w:sz w:val="18"/>
              </w:rPr>
              <w:t>CRÍTICO</w:t>
            </w:r>
          </w:p>
        </w:tc>
      </w:tr>
      <w:tr>
        <w:tc>
          <w:tcPr>
            <w:tcW w:type="dxa" w:w="3969"/>
          </w:tcPr>
          <w:p>
            <w:r>
              <w:rPr>
                <w:rFonts w:ascii="Calibri" w:hAnsi="Calibri"/>
                <w:b/>
                <w:color w:val="02243F"/>
                <w:sz w:val="18"/>
              </w:rPr>
              <w:t>Proximidade da Diretoria</w:t>
            </w:r>
          </w:p>
        </w:tc>
        <w:tc>
          <w:tcPr>
            <w:tcW w:type="dxa" w:w="2835"/>
            <w:shd w:fill="D32F2F" w:val="clear"/>
          </w:tcPr>
          <w:p>
            <w:r>
              <w:rPr>
                <w:color w:val="FFFFFF"/>
                <w:sz w:val="18"/>
              </w:rPr>
              <w:t xml:space="preserve">  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b/>
                <w:color w:val="D32F2F"/>
                <w:sz w:val="18"/>
              </w:rPr>
              <w:t>INSUFICIENTE</w:t>
            </w:r>
          </w:p>
        </w:tc>
      </w:tr>
      <w:tr>
        <w:tc>
          <w:tcPr>
            <w:tcW w:type="dxa" w:w="3969"/>
            <w:shd w:fill="F5F5F5" w:val="clear"/>
          </w:tcPr>
          <w:p>
            <w:r>
              <w:rPr>
                <w:rFonts w:ascii="Calibri" w:hAnsi="Calibri"/>
                <w:b/>
                <w:color w:val="02243F"/>
                <w:sz w:val="18"/>
              </w:rPr>
              <w:t>Feedback e Desenvolvimento</w:t>
            </w:r>
          </w:p>
        </w:tc>
        <w:tc>
          <w:tcPr>
            <w:tcW w:type="dxa" w:w="2835"/>
            <w:shd w:fill="F57C00" w:val="clear"/>
          </w:tcPr>
          <w:p>
            <w:r>
              <w:rPr>
                <w:color w:val="FFFFFF"/>
                <w:sz w:val="18"/>
              </w:rPr>
              <w:t xml:space="preserve">  </w:t>
            </w:r>
          </w:p>
        </w:tc>
        <w:tc>
          <w:tcPr>
            <w:tcW w:type="dxa" w:w="2268"/>
            <w:shd w:fill="F5F5F5" w:val="clear"/>
          </w:tcPr>
          <w:p>
            <w:r>
              <w:rPr>
                <w:rFonts w:ascii="Calibri" w:hAnsi="Calibri"/>
                <w:b/>
                <w:color w:val="F57C00"/>
                <w:sz w:val="18"/>
              </w:rPr>
              <w:t>INSUFICIENTE</w:t>
            </w:r>
          </w:p>
        </w:tc>
      </w:tr>
      <w:tr>
        <w:tc>
          <w:tcPr>
            <w:tcW w:type="dxa" w:w="3969"/>
          </w:tcPr>
          <w:p>
            <w:r>
              <w:rPr>
                <w:rFonts w:ascii="Calibri" w:hAnsi="Calibri"/>
                <w:b/>
                <w:color w:val="02243F"/>
                <w:sz w:val="18"/>
              </w:rPr>
              <w:t>Plano de Carreira</w:t>
            </w:r>
          </w:p>
        </w:tc>
        <w:tc>
          <w:tcPr>
            <w:tcW w:type="dxa" w:w="2835"/>
            <w:shd w:fill="D32F2F" w:val="clear"/>
          </w:tcPr>
          <w:p>
            <w:r>
              <w:rPr>
                <w:color w:val="FFFFFF"/>
                <w:sz w:val="18"/>
              </w:rPr>
              <w:t xml:space="preserve">  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b/>
                <w:color w:val="D32F2F"/>
                <w:sz w:val="18"/>
              </w:rPr>
              <w:t>INEXISTENTE</w:t>
            </w:r>
          </w:p>
        </w:tc>
      </w:tr>
      <w:tr>
        <w:tc>
          <w:tcPr>
            <w:tcW w:type="dxa" w:w="3969"/>
            <w:shd w:fill="F5F5F5" w:val="clear"/>
          </w:tcPr>
          <w:p>
            <w:r>
              <w:rPr>
                <w:rFonts w:ascii="Calibri" w:hAnsi="Calibri"/>
                <w:b/>
                <w:color w:val="02243F"/>
                <w:sz w:val="18"/>
              </w:rPr>
              <w:t>Reconhecimento Financeiro</w:t>
            </w:r>
          </w:p>
        </w:tc>
        <w:tc>
          <w:tcPr>
            <w:tcW w:type="dxa" w:w="2835"/>
            <w:shd w:fill="F57C00" w:val="clear"/>
          </w:tcPr>
          <w:p>
            <w:r>
              <w:rPr>
                <w:color w:val="FFFFFF"/>
                <w:sz w:val="18"/>
              </w:rPr>
              <w:t xml:space="preserve">  </w:t>
            </w:r>
          </w:p>
        </w:tc>
        <w:tc>
          <w:tcPr>
            <w:tcW w:type="dxa" w:w="2268"/>
            <w:shd w:fill="F5F5F5" w:val="clear"/>
          </w:tcPr>
          <w:p>
            <w:r>
              <w:rPr>
                <w:rFonts w:ascii="Calibri" w:hAnsi="Calibri"/>
                <w:b/>
                <w:color w:val="F57C00"/>
                <w:sz w:val="18"/>
              </w:rPr>
              <w:t>PARCIAL</w:t>
            </w:r>
          </w:p>
        </w:tc>
      </w:tr>
      <w:tr>
        <w:tc>
          <w:tcPr>
            <w:tcW w:type="dxa" w:w="3969"/>
          </w:tcPr>
          <w:p>
            <w:r>
              <w:rPr>
                <w:rFonts w:ascii="Calibri" w:hAnsi="Calibri"/>
                <w:b/>
                <w:color w:val="02243F"/>
                <w:sz w:val="18"/>
              </w:rPr>
              <w:t>Gestão de Carga</w:t>
            </w:r>
          </w:p>
        </w:tc>
        <w:tc>
          <w:tcPr>
            <w:tcW w:type="dxa" w:w="2835"/>
            <w:shd w:fill="F57C00" w:val="clear"/>
          </w:tcPr>
          <w:p>
            <w:r>
              <w:rPr>
                <w:color w:val="FFFFFF"/>
                <w:sz w:val="18"/>
              </w:rPr>
              <w:t xml:space="preserve">  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b/>
                <w:color w:val="F57C00"/>
                <w:sz w:val="18"/>
              </w:rPr>
              <w:t>DEFICIENTE</w:t>
            </w:r>
          </w:p>
        </w:tc>
      </w:tr>
      <w:tr>
        <w:tc>
          <w:tcPr>
            <w:tcW w:type="dxa" w:w="3969"/>
            <w:shd w:fill="F5F5F5" w:val="clear"/>
          </w:tcPr>
          <w:p>
            <w:r>
              <w:rPr>
                <w:rFonts w:ascii="Calibri" w:hAnsi="Calibri"/>
                <w:b/>
                <w:color w:val="02243F"/>
                <w:sz w:val="18"/>
              </w:rPr>
              <w:t>Cultura e Colaboração</w:t>
            </w:r>
          </w:p>
        </w:tc>
        <w:tc>
          <w:tcPr>
            <w:tcW w:type="dxa" w:w="2835"/>
            <w:shd w:fill="2E7D32" w:val="clear"/>
          </w:tcPr>
          <w:p>
            <w:r>
              <w:rPr>
                <w:color w:val="FFFFFF"/>
                <w:sz w:val="18"/>
              </w:rPr>
              <w:t xml:space="preserve">  </w:t>
            </w:r>
          </w:p>
        </w:tc>
        <w:tc>
          <w:tcPr>
            <w:tcW w:type="dxa" w:w="2268"/>
            <w:shd w:fill="F5F5F5" w:val="clear"/>
          </w:tcPr>
          <w:p>
            <w:r>
              <w:rPr>
                <w:rFonts w:ascii="Calibri" w:hAnsi="Calibri"/>
                <w:b/>
                <w:color w:val="2E7D32"/>
                <w:sz w:val="18"/>
              </w:rPr>
              <w:t>POSITIVA</w:t>
            </w:r>
          </w:p>
        </w:tc>
      </w:tr>
      <w:tr>
        <w:tc>
          <w:tcPr>
            <w:tcW w:type="dxa" w:w="3969"/>
          </w:tcPr>
          <w:p>
            <w:r>
              <w:rPr>
                <w:rFonts w:ascii="Calibri" w:hAnsi="Calibri"/>
                <w:b/>
                <w:color w:val="02243F"/>
                <w:sz w:val="18"/>
              </w:rPr>
              <w:t>Competência Técnica</w:t>
            </w:r>
          </w:p>
        </w:tc>
        <w:tc>
          <w:tcPr>
            <w:tcW w:type="dxa" w:w="2835"/>
            <w:shd w:fill="2E7D32" w:val="clear"/>
          </w:tcPr>
          <w:p>
            <w:r>
              <w:rPr>
                <w:color w:val="FFFFFF"/>
                <w:sz w:val="18"/>
              </w:rPr>
              <w:t xml:space="preserve">  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b/>
                <w:color w:val="2E7D32"/>
                <w:sz w:val="18"/>
              </w:rPr>
              <w:t>FORTE</w:t>
            </w:r>
          </w:p>
        </w:tc>
      </w:tr>
      <w:tr>
        <w:tc>
          <w:tcPr>
            <w:tcW w:type="dxa" w:w="3969"/>
            <w:shd w:fill="F5F5F5" w:val="clear"/>
          </w:tcPr>
          <w:p>
            <w:r>
              <w:rPr>
                <w:rFonts w:ascii="Calibri" w:hAnsi="Calibri"/>
                <w:b/>
                <w:color w:val="02243F"/>
                <w:sz w:val="18"/>
              </w:rPr>
              <w:t>Engajamento Geral</w:t>
            </w:r>
          </w:p>
        </w:tc>
        <w:tc>
          <w:tcPr>
            <w:tcW w:type="dxa" w:w="2835"/>
            <w:shd w:fill="F57C00" w:val="clear"/>
          </w:tcPr>
          <w:p>
            <w:r>
              <w:rPr>
                <w:color w:val="FFFFFF"/>
                <w:sz w:val="18"/>
              </w:rPr>
              <w:t xml:space="preserve">  </w:t>
            </w:r>
          </w:p>
        </w:tc>
        <w:tc>
          <w:tcPr>
            <w:tcW w:type="dxa" w:w="2268"/>
            <w:shd w:fill="F5F5F5" w:val="clear"/>
          </w:tcPr>
          <w:p>
            <w:r>
              <w:rPr>
                <w:rFonts w:ascii="Calibri" w:hAnsi="Calibri"/>
                <w:b/>
                <w:color w:val="F57C00"/>
                <w:sz w:val="18"/>
              </w:rPr>
              <w:t>EM RISCO</w:t>
            </w:r>
          </w:p>
        </w:tc>
      </w:tr>
    </w:tbl>
    <w:p/>
    <w:p>
      <w:pPr>
        <w:spacing w:before="120" w:after="120"/>
        <w:pBdr>
          <w:left w:val="single" w:sz="24" w:space="8" w:color="1FB3D7"/>
        </w:pBdr>
        <w:shd w:fill="F0F8FF" w:val="clear"/>
        <w:ind w:left="284"/>
      </w:pPr>
      <w:r>
        <w:rPr>
          <w:sz w:val="18"/>
        </w:rPr>
        <w:t xml:space="preserve">💡 </w:t>
      </w:r>
      <w:r>
        <w:rPr>
          <w:rFonts w:ascii="Calibri" w:hAnsi="Calibri"/>
          <w:i/>
          <w:color w:val="02243F"/>
          <w:sz w:val="18"/>
        </w:rPr>
        <w:t>Padrão claro: os problemas estão na camada de gestão e comunicação, NÃO na competência ou disposição do time. A base técnica e cultural é sólida — o gap é de liderança ativa.</w:t>
      </w:r>
    </w:p>
    <w:p/>
    <w:p>
      <w:pPr>
        <w:pStyle w:val="Heading1"/>
      </w:pPr>
      <w:r>
        <w:t>Diagnóstico SWOT — Visão Executiva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E8F5E9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32"/>
                <w:sz w:val="22"/>
              </w:rPr>
              <w:t>FORÇAS</w:t>
            </w:r>
          </w:p>
          <w:p>
            <w:pPr>
              <w:spacing w:before="20" w:after="20"/>
            </w:pPr>
            <w:r>
              <w:rPr>
                <w:rFonts w:ascii="Calibri" w:hAnsi="Calibri"/>
                <w:color w:val="02243F"/>
                <w:sz w:val="16"/>
              </w:rPr>
              <w:t xml:space="preserve">  • Equipe resiliente e auto-motivada</w:t>
            </w:r>
          </w:p>
          <w:p>
            <w:pPr>
              <w:spacing w:before="20" w:after="20"/>
            </w:pPr>
            <w:r>
              <w:rPr>
                <w:rFonts w:ascii="Calibri" w:hAnsi="Calibri"/>
                <w:color w:val="02243F"/>
                <w:sz w:val="16"/>
              </w:rPr>
              <w:t xml:space="preserve">  • Cultura colaborativa reconhecida</w:t>
            </w:r>
          </w:p>
          <w:p>
            <w:pPr>
              <w:spacing w:before="20" w:after="20"/>
            </w:pPr>
            <w:r>
              <w:rPr>
                <w:rFonts w:ascii="Calibri" w:hAnsi="Calibri"/>
                <w:color w:val="02243F"/>
                <w:sz w:val="16"/>
              </w:rPr>
              <w:t xml:space="preserve">  • Liderança técnica de referência</w:t>
            </w:r>
          </w:p>
          <w:p>
            <w:pPr>
              <w:spacing w:before="20" w:after="20"/>
            </w:pPr>
            <w:r>
              <w:rPr>
                <w:rFonts w:ascii="Calibri" w:hAnsi="Calibri"/>
                <w:color w:val="02243F"/>
                <w:sz w:val="16"/>
              </w:rPr>
              <w:t xml:space="preserve">  • Crescimento individual expressivo</w:t>
            </w:r>
          </w:p>
          <w:p>
            <w:pPr>
              <w:spacing w:before="20" w:after="20"/>
            </w:pPr>
            <w:r>
              <w:rPr>
                <w:rFonts w:ascii="Calibri" w:hAnsi="Calibri"/>
                <w:color w:val="02243F"/>
                <w:sz w:val="16"/>
              </w:rPr>
              <w:t xml:space="preserve">  • Transição BPO → SaaS bem percebida</w:t>
            </w:r>
          </w:p>
        </w:tc>
        <w:tc>
          <w:tcPr>
            <w:tcW w:type="dxa" w:w="4703"/>
            <w:shd w:fill="FFEBEE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D32F2F"/>
                <w:sz w:val="22"/>
              </w:rPr>
              <w:t>FRAQUEZAS</w:t>
            </w:r>
          </w:p>
          <w:p>
            <w:pPr>
              <w:spacing w:before="20" w:after="20"/>
            </w:pPr>
            <w:r>
              <w:rPr>
                <w:rFonts w:ascii="Calibri" w:hAnsi="Calibri"/>
                <w:color w:val="02243F"/>
                <w:sz w:val="16"/>
              </w:rPr>
              <w:t xml:space="preserve">  • Déficit crítico de comunicação</w:t>
            </w:r>
          </w:p>
          <w:p>
            <w:pPr>
              <w:spacing w:before="20" w:after="20"/>
            </w:pPr>
            <w:r>
              <w:rPr>
                <w:rFonts w:ascii="Calibri" w:hAnsi="Calibri"/>
                <w:color w:val="02243F"/>
                <w:sz w:val="16"/>
              </w:rPr>
              <w:t xml:space="preserve">  • Diretoria percebida como distante</w:t>
            </w:r>
          </w:p>
          <w:p>
            <w:pPr>
              <w:spacing w:before="20" w:after="20"/>
            </w:pPr>
            <w:r>
              <w:rPr>
                <w:rFonts w:ascii="Calibri" w:hAnsi="Calibri"/>
                <w:color w:val="02243F"/>
                <w:sz w:val="16"/>
              </w:rPr>
              <w:t xml:space="preserve">  • Zero rituais de feedback</w:t>
            </w:r>
          </w:p>
          <w:p>
            <w:pPr>
              <w:spacing w:before="20" w:after="20"/>
            </w:pPr>
            <w:r>
              <w:rPr>
                <w:rFonts w:ascii="Calibri" w:hAnsi="Calibri"/>
                <w:color w:val="02243F"/>
                <w:sz w:val="16"/>
              </w:rPr>
              <w:t xml:space="preserve">  • Promessas não cumpridas</w:t>
            </w:r>
          </w:p>
          <w:p>
            <w:pPr>
              <w:spacing w:before="20" w:after="20"/>
            </w:pPr>
            <w:r>
              <w:rPr>
                <w:rFonts w:ascii="Calibri" w:hAnsi="Calibri"/>
                <w:color w:val="02243F"/>
                <w:sz w:val="16"/>
              </w:rPr>
              <w:t xml:space="preserve">  • Sem plano de carreira visível</w:t>
            </w:r>
          </w:p>
        </w:tc>
      </w:tr>
      <w:tr>
        <w:tc>
          <w:tcPr>
            <w:tcW w:type="dxa" w:w="4703"/>
            <w:shd w:fill="E3F2FD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80E2"/>
                <w:sz w:val="22"/>
              </w:rPr>
              <w:t>OPORTUNIDADES</w:t>
            </w:r>
          </w:p>
          <w:p>
            <w:pPr>
              <w:spacing w:before="20" w:after="20"/>
            </w:pPr>
            <w:r>
              <w:rPr>
                <w:rFonts w:ascii="Calibri" w:hAnsi="Calibri"/>
                <w:color w:val="02243F"/>
                <w:sz w:val="16"/>
              </w:rPr>
              <w:t xml:space="preserve">  • Clientes com potencial de expansão</w:t>
            </w:r>
          </w:p>
          <w:p>
            <w:pPr>
              <w:spacing w:before="20" w:after="20"/>
            </w:pPr>
            <w:r>
              <w:rPr>
                <w:rFonts w:ascii="Calibri" w:hAnsi="Calibri"/>
                <w:color w:val="02243F"/>
                <w:sz w:val="16"/>
              </w:rPr>
              <w:t xml:space="preserve">  • Upsell em Engenharia de Dados</w:t>
            </w:r>
          </w:p>
          <w:p>
            <w:pPr>
              <w:spacing w:before="20" w:after="20"/>
            </w:pPr>
            <w:r>
              <w:rPr>
                <w:rFonts w:ascii="Calibri" w:hAnsi="Calibri"/>
                <w:color w:val="02243F"/>
                <w:sz w:val="16"/>
              </w:rPr>
              <w:t xml:space="preserve">  • Nova linha: Cibersegurança</w:t>
            </w:r>
          </w:p>
          <w:p>
            <w:pPr>
              <w:spacing w:before="20" w:after="20"/>
            </w:pPr>
            <w:r>
              <w:rPr>
                <w:rFonts w:ascii="Calibri" w:hAnsi="Calibri"/>
                <w:color w:val="02243F"/>
                <w:sz w:val="16"/>
              </w:rPr>
              <w:t xml:space="preserve">  • Certificações = diferencial em licitações</w:t>
            </w:r>
          </w:p>
          <w:p>
            <w:pPr>
              <w:spacing w:before="20" w:after="20"/>
            </w:pPr>
            <w:r>
              <w:rPr>
                <w:rFonts w:ascii="Calibri" w:hAnsi="Calibri"/>
                <w:color w:val="02243F"/>
                <w:sz w:val="16"/>
              </w:rPr>
              <w:t xml:space="preserve">  • Equipe disposta a crescer junto</w:t>
            </w:r>
          </w:p>
        </w:tc>
        <w:tc>
          <w:tcPr>
            <w:tcW w:type="dxa" w:w="4703"/>
            <w:shd w:fill="FFF3E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57C00"/>
                <w:sz w:val="22"/>
              </w:rPr>
              <w:t>AMEAÇAS</w:t>
            </w:r>
          </w:p>
          <w:p>
            <w:pPr>
              <w:spacing w:before="20" w:after="20"/>
            </w:pPr>
            <w:r>
              <w:rPr>
                <w:rFonts w:ascii="Calibri" w:hAnsi="Calibri"/>
                <w:color w:val="02243F"/>
                <w:sz w:val="16"/>
              </w:rPr>
              <w:t xml:space="preserve">  • Risco concreto de perda de talentos</w:t>
            </w:r>
          </w:p>
          <w:p>
            <w:pPr>
              <w:spacing w:before="20" w:after="20"/>
            </w:pPr>
            <w:r>
              <w:rPr>
                <w:rFonts w:ascii="Calibri" w:hAnsi="Calibri"/>
                <w:color w:val="02243F"/>
                <w:sz w:val="16"/>
              </w:rPr>
              <w:t xml:space="preserve">  • Rumores de falência não desmentidos</w:t>
            </w:r>
          </w:p>
          <w:p>
            <w:pPr>
              <w:spacing w:before="20" w:after="20"/>
            </w:pPr>
            <w:r>
              <w:rPr>
                <w:rFonts w:ascii="Calibri" w:hAnsi="Calibri"/>
                <w:color w:val="02243F"/>
                <w:sz w:val="16"/>
              </w:rPr>
              <w:t xml:space="preserve">  • Credibilidade da liderança em xeque</w:t>
            </w:r>
          </w:p>
          <w:p>
            <w:pPr>
              <w:spacing w:before="20" w:after="20"/>
            </w:pPr>
            <w:r>
              <w:rPr>
                <w:rFonts w:ascii="Calibri" w:hAnsi="Calibri"/>
                <w:color w:val="02243F"/>
                <w:sz w:val="16"/>
              </w:rPr>
              <w:t xml:space="preserve">  • Concorrência por talentos tech</w:t>
            </w:r>
          </w:p>
          <w:p>
            <w:pPr>
              <w:spacing w:before="20" w:after="20"/>
            </w:pPr>
            <w:r>
              <w:rPr>
                <w:rFonts w:ascii="Calibri" w:hAnsi="Calibri"/>
                <w:color w:val="02243F"/>
                <w:sz w:val="16"/>
              </w:rPr>
              <w:t xml:space="preserve">  • Esgotamento em funções-chave</w:t>
            </w:r>
          </w:p>
        </w:tc>
      </w:tr>
    </w:tbl>
    <w:p>
      <w:r>
        <w:br w:type="page"/>
      </w:r>
    </w:p>
    <w:p>
      <w:pPr>
        <w:pStyle w:val="Heading1"/>
      </w:pPr>
      <w:r>
        <w:t>Mapa de Risco de Retenção</w:t>
      </w:r>
    </w:p>
    <w:p>
      <w:pPr>
        <w:spacing w:after="120"/>
        <w:jc w:val="left"/>
      </w:pPr>
      <w:r>
        <w:rPr>
          <w:rFonts w:ascii="Calibri" w:hAnsi="Calibri"/>
          <w:b w:val="0"/>
          <w:color w:val="07477D"/>
          <w:sz w:val="20"/>
        </w:rPr>
        <w:t>Análise agregada (anonimizada) dos diferentes níveis de risco de perda de talentos.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7477D"/>
          <w:bottom w:val="single" w:sz="4" w:space="0" w:color="07477D"/>
          <w:insideH w:val="single" w:sz="2" w:space="0" w:color="E6E6E6"/>
          <w:left w:val="none" w:sz="0" w:space="0" w:color="auto"/>
          <w:right w:val="none" w:sz="0" w:space="0" w:color="auto"/>
          <w:insideV w:val="none" w:sz="0" w:space="0" w:color="auto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7477D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NÍVEL</w:t>
            </w:r>
          </w:p>
        </w:tc>
        <w:tc>
          <w:tcPr>
            <w:tcW w:type="dxa" w:w="2351"/>
            <w:shd w:fill="07477D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QTD.</w:t>
            </w:r>
          </w:p>
        </w:tc>
        <w:tc>
          <w:tcPr>
            <w:tcW w:type="dxa" w:w="2351"/>
            <w:shd w:fill="07477D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PERFIL</w:t>
            </w:r>
          </w:p>
        </w:tc>
        <w:tc>
          <w:tcPr>
            <w:tcW w:type="dxa" w:w="2351"/>
            <w:shd w:fill="07477D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GATILHO DE SAÍDA</w:t>
            </w:r>
          </w:p>
        </w:tc>
      </w:tr>
      <w:tr>
        <w:tc>
          <w:tcPr>
            <w:tcW w:type="dxa" w:w="2351"/>
            <w:shd w:fill="E6E6E6" w:val="clear"/>
          </w:tcPr>
          <w:p>
            <w:r>
              <w:rPr>
                <w:rFonts w:ascii="Calibri" w:hAnsi="Calibri"/>
                <w:b/>
                <w:color w:val="D32F2F"/>
                <w:sz w:val="18"/>
              </w:rPr>
              <w:t>ALTO</w:t>
            </w:r>
          </w:p>
        </w:tc>
        <w:tc>
          <w:tcPr>
            <w:tcW w:type="dxa" w:w="2351"/>
            <w:shd w:fill="E6E6E6" w:val="clear"/>
          </w:tcPr>
          <w:p>
            <w:r>
              <w:rPr>
                <w:rFonts w:ascii="Calibri" w:hAnsi="Calibri"/>
                <w:color w:val="02243F"/>
                <w:sz w:val="18"/>
              </w:rPr>
              <w:t>1-2</w:t>
            </w:r>
          </w:p>
        </w:tc>
        <w:tc>
          <w:tcPr>
            <w:tcW w:type="dxa" w:w="2351"/>
            <w:shd w:fill="E6E6E6" w:val="clear"/>
          </w:tcPr>
          <w:p>
            <w:r>
              <w:rPr>
                <w:rFonts w:ascii="Calibri" w:hAnsi="Calibri"/>
                <w:color w:val="02243F"/>
                <w:sz w:val="18"/>
              </w:rPr>
              <w:t>Bom desempenho, frustrados com promessas não cumpridas; já buscaram vagas</w:t>
            </w:r>
          </w:p>
        </w:tc>
        <w:tc>
          <w:tcPr>
            <w:tcW w:type="dxa" w:w="2351"/>
            <w:shd w:fill="E6E6E6" w:val="clear"/>
          </w:tcPr>
          <w:p>
            <w:r>
              <w:rPr>
                <w:rFonts w:ascii="Calibri" w:hAnsi="Calibri"/>
                <w:color w:val="02243F"/>
                <w:sz w:val="18"/>
              </w:rPr>
              <w:t>Proposta competitiva; nova frustração com promoção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b/>
                <w:color w:val="F57C00"/>
                <w:sz w:val="18"/>
              </w:rPr>
              <w:t>MÉDIO-ALTO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02243F"/>
                <w:sz w:val="18"/>
              </w:rPr>
              <w:t>2-3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02243F"/>
                <w:sz w:val="18"/>
              </w:rPr>
              <w:t>Funções-chave com sobrecarga e esgotamento; perda de credibilidade na liderança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02243F"/>
                <w:sz w:val="18"/>
              </w:rPr>
              <w:t>Persistência do cansaço; ausência de reconhecimento</w:t>
            </w:r>
          </w:p>
        </w:tc>
      </w:tr>
      <w:tr>
        <w:tc>
          <w:tcPr>
            <w:tcW w:type="dxa" w:w="2351"/>
            <w:shd w:fill="E6E6E6" w:val="clear"/>
          </w:tcPr>
          <w:p>
            <w:r>
              <w:rPr>
                <w:rFonts w:ascii="Calibri" w:hAnsi="Calibri"/>
                <w:b/>
                <w:color w:val="F9A825"/>
                <w:sz w:val="18"/>
              </w:rPr>
              <w:t>MÉDIO</w:t>
            </w:r>
          </w:p>
        </w:tc>
        <w:tc>
          <w:tcPr>
            <w:tcW w:type="dxa" w:w="2351"/>
            <w:shd w:fill="E6E6E6" w:val="clear"/>
          </w:tcPr>
          <w:p>
            <w:r>
              <w:rPr>
                <w:rFonts w:ascii="Calibri" w:hAnsi="Calibri"/>
                <w:color w:val="02243F"/>
                <w:sz w:val="18"/>
              </w:rPr>
              <w:t>2-3</w:t>
            </w:r>
          </w:p>
        </w:tc>
        <w:tc>
          <w:tcPr>
            <w:tcW w:type="dxa" w:w="2351"/>
            <w:shd w:fill="E6E6E6" w:val="clear"/>
          </w:tcPr>
          <w:p>
            <w:r>
              <w:rPr>
                <w:rFonts w:ascii="Calibri" w:hAnsi="Calibri"/>
                <w:color w:val="02243F"/>
                <w:sz w:val="18"/>
              </w:rPr>
              <w:t>Apreensivos mas sem ação concreta; querem acreditar em 2026</w:t>
            </w:r>
          </w:p>
        </w:tc>
        <w:tc>
          <w:tcPr>
            <w:tcW w:type="dxa" w:w="2351"/>
            <w:shd w:fill="E6E6E6" w:val="clear"/>
          </w:tcPr>
          <w:p>
            <w:r>
              <w:rPr>
                <w:rFonts w:ascii="Calibri" w:hAnsi="Calibri"/>
                <w:color w:val="02243F"/>
                <w:sz w:val="18"/>
              </w:rPr>
              <w:t>Falta de comunicação clara sobre estratégia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b/>
                <w:color w:val="2E7D32"/>
                <w:sz w:val="18"/>
              </w:rPr>
              <w:t>BAIXO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02243F"/>
                <w:sz w:val="18"/>
              </w:rPr>
              <w:t>6-7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02243F"/>
                <w:sz w:val="18"/>
              </w:rPr>
              <w:t>Engajados, visão positiva e disposição para crescer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02243F"/>
                <w:sz w:val="18"/>
              </w:rPr>
              <w:t>Deterioração do clima; saída de líder técnico</w:t>
            </w:r>
          </w:p>
        </w:tc>
      </w:tr>
    </w:tbl>
    <w:p/>
    <w:p>
      <w:pPr>
        <w:spacing w:before="120" w:after="120"/>
        <w:pBdr>
          <w:left w:val="single" w:sz="24" w:space="8" w:color="D32F2F"/>
        </w:pBdr>
        <w:shd w:fill="FFF5F5" w:val="clear"/>
        <w:ind w:left="284"/>
      </w:pPr>
      <w:r>
        <w:rPr>
          <w:color w:val="D32F2F"/>
          <w:sz w:val="20"/>
        </w:rPr>
        <w:t xml:space="preserve">⚠ </w:t>
      </w:r>
      <w:r>
        <w:rPr>
          <w:rFonts w:ascii="Calibri" w:hAnsi="Calibri"/>
          <w:b/>
          <w:color w:val="D32F2F"/>
          <w:sz w:val="18"/>
        </w:rPr>
        <w:t>JANELA CRÍTICA: Colaboradores em risco ALTO condicionaram permanência a mudanças visíveis no Q1/2026. Sem ação até março, saídas em cascata podem impactar projetos estratégicos.</w:t>
      </w:r>
    </w:p>
    <w:p>
      <w:r>
        <w:br w:type="page"/>
      </w:r>
    </w:p>
    <w:p>
      <w:pPr>
        <w:pStyle w:val="Heading1"/>
      </w:pPr>
      <w:r>
        <w:t>Trabalho Remoto: O Problema Não é o Modelo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364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m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6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left"/>
      </w:pPr>
      <w:r>
        <w:rPr>
          <w:rFonts w:ascii="Calibri" w:hAnsi="Calibri"/>
          <w:b w:val="0"/>
          <w:color w:val="02243F"/>
          <w:sz w:val="20"/>
        </w:rPr>
        <w:t>A análise da escuta mencionou que a transição para home office "agravou o distanciamento da Diretoria". Porém, é fundamental reinterpretar esse dado: o modelo remoto/híbrido não é o problema — é o padrão do mercado de tecnologia.</w:t>
      </w:r>
    </w:p>
    <w:p>
      <w:pPr>
        <w:pStyle w:val="Heading2"/>
      </w:pPr>
      <w:r>
        <w:t>O que os dados do mercado mostram</w:t>
      </w:r>
    </w:p>
    <w:p>
      <w:pPr>
        <w:spacing w:before="40" w:after="40"/>
      </w:pPr>
      <w:r>
        <w:rPr>
          <w:rFonts w:ascii="Calibri" w:hAnsi="Calibri"/>
          <w:b/>
          <w:color w:val="1480E2"/>
          <w:sz w:val="28"/>
        </w:rPr>
        <w:t xml:space="preserve">  97%  </w:t>
      </w:r>
      <w:r>
        <w:rPr>
          <w:rFonts w:ascii="Calibri" w:hAnsi="Calibri"/>
          <w:color w:val="02243F"/>
          <w:sz w:val="18"/>
        </w:rPr>
        <w:t>das empresas de tecnologia oferecem flexibilidade de local de trabalho (2024)</w:t>
      </w:r>
    </w:p>
    <w:p>
      <w:pPr>
        <w:spacing w:before="40" w:after="40"/>
      </w:pPr>
      <w:r>
        <w:rPr>
          <w:rFonts w:ascii="Calibri" w:hAnsi="Calibri"/>
          <w:b/>
          <w:color w:val="1480E2"/>
          <w:sz w:val="28"/>
        </w:rPr>
        <w:t xml:space="preserve">  90%  </w:t>
      </w:r>
      <w:r>
        <w:rPr>
          <w:rFonts w:ascii="Calibri" w:hAnsi="Calibri"/>
          <w:color w:val="02243F"/>
          <w:sz w:val="18"/>
        </w:rPr>
        <w:t>dos profissionais de Produto/Tech no Brasil trabalham em modelos flexíveis (PM3, 2025)</w:t>
      </w:r>
    </w:p>
    <w:p>
      <w:pPr>
        <w:spacing w:before="40" w:after="40"/>
      </w:pPr>
      <w:r>
        <w:rPr>
          <w:rFonts w:ascii="Calibri" w:hAnsi="Calibri"/>
          <w:b/>
          <w:color w:val="1480E2"/>
          <w:sz w:val="28"/>
        </w:rPr>
        <w:t xml:space="preserve">  67%  </w:t>
      </w:r>
      <w:r>
        <w:rPr>
          <w:rFonts w:ascii="Calibri" w:hAnsi="Calibri"/>
          <w:color w:val="02243F"/>
          <w:sz w:val="18"/>
        </w:rPr>
        <w:t>dos profissionais brasileiros preferem híbrido ou remoto (Talenses Group, 2025)</w:t>
      </w:r>
    </w:p>
    <w:p>
      <w:pPr>
        <w:spacing w:before="40" w:after="40"/>
      </w:pPr>
      <w:r>
        <w:rPr>
          <w:rFonts w:ascii="Calibri" w:hAnsi="Calibri"/>
          <w:b/>
          <w:color w:val="1480E2"/>
          <w:sz w:val="28"/>
        </w:rPr>
        <w:t xml:space="preserve">  41%  </w:t>
      </w:r>
      <w:r>
        <w:rPr>
          <w:rFonts w:ascii="Calibri" w:hAnsi="Calibri"/>
          <w:color w:val="02243F"/>
          <w:sz w:val="18"/>
        </w:rPr>
        <w:t>considerariam trocar de emprego se forçados a voltar 100% presencial</w:t>
      </w:r>
    </w:p>
    <w:p>
      <w:pPr>
        <w:spacing w:before="40" w:after="40"/>
      </w:pPr>
      <w:r>
        <w:rPr>
          <w:rFonts w:ascii="Calibri" w:hAnsi="Calibri"/>
          <w:b/>
          <w:color w:val="1480E2"/>
          <w:sz w:val="28"/>
        </w:rPr>
        <w:t xml:space="preserve">  90%+  </w:t>
      </w:r>
      <w:r>
        <w:rPr>
          <w:rFonts w:ascii="Calibri" w:hAnsi="Calibri"/>
          <w:color w:val="02243F"/>
          <w:sz w:val="18"/>
        </w:rPr>
        <w:t>dos profissionais em regime remoto/híbrido percebem melhora na qualidade de vida (FEA-USP/FIA)</w:t>
      </w:r>
    </w:p>
    <w:p>
      <w:pPr>
        <w:spacing w:before="120" w:after="120"/>
        <w:pBdr>
          <w:left w:val="single" w:sz="24" w:space="8" w:color="1FB3D7"/>
        </w:pBdr>
        <w:shd w:fill="F0F8FF" w:val="clear"/>
        <w:ind w:left="284"/>
      </w:pPr>
      <w:r>
        <w:rPr>
          <w:sz w:val="18"/>
        </w:rPr>
        <w:t xml:space="preserve">💡 </w:t>
      </w:r>
      <w:r>
        <w:rPr>
          <w:rFonts w:ascii="Calibri" w:hAnsi="Calibri"/>
          <w:i/>
          <w:color w:val="02243F"/>
          <w:sz w:val="18"/>
        </w:rPr>
        <w:t>Para uma empresa de dados como a Falqon, impor retorno presencial seria um risco competitivo na atração e retenção de talentos. O caminho é ADAPTAR A LIDERANÇA ao modelo, não mudar o modelo.</w:t>
      </w:r>
    </w:p>
    <w:p>
      <w:pPr>
        <w:pStyle w:val="Heading2"/>
      </w:pPr>
      <w:r>
        <w:t>O Verdadeiro Gap: Liderança para o Remoto</w:t>
      </w:r>
    </w:p>
    <w:p>
      <w:pPr>
        <w:spacing w:after="120"/>
        <w:jc w:val="left"/>
      </w:pPr>
      <w:r>
        <w:rPr>
          <w:rFonts w:ascii="Calibri" w:hAnsi="Calibri"/>
          <w:b w:val="0"/>
          <w:color w:val="02243F"/>
          <w:sz w:val="20"/>
        </w:rPr>
        <w:t>O que a escuta revelou não é que o home office falhou — é que a liderança não se adaptou. O distanciamento já existia no presencial e se amplificou sem as ferramentas certas.</w:t>
      </w:r>
    </w:p>
    <w:p>
      <w:pPr>
        <w:pStyle w:val="Heading3"/>
      </w:pPr>
      <w:r>
        <w:t>5 Práticas que a Falqon Precisa Implementar</w:t>
      </w:r>
    </w:p>
    <w:p>
      <w:pPr>
        <w:spacing w:before="120" w:after="40"/>
      </w:pPr>
      <w:r>
        <w:rPr>
          <w:rFonts w:ascii="Calibri" w:hAnsi="Calibri"/>
          <w:b/>
          <w:color w:val="07477D"/>
          <w:sz w:val="20"/>
        </w:rPr>
        <w:t>1. Rituais Consistentes de Conexão</w:t>
      </w:r>
    </w:p>
    <w:p>
      <w:pPr>
        <w:spacing w:before="0" w:after="80"/>
        <w:ind w:left="284"/>
      </w:pPr>
      <w:r>
        <w:rPr>
          <w:rFonts w:ascii="Calibri" w:hAnsi="Calibri"/>
          <w:color w:val="02243F"/>
          <w:sz w:val="18"/>
        </w:rPr>
        <w:t>Huddles diários de 15min, kick-offs de segunda, wrap-ups de sexta, canais de reconhecimento entre pares. Não eventos grandes e esporádicos — rituais pequenos e frequentes que criam ritmo e pertencimento.</w:t>
      </w:r>
    </w:p>
    <w:p>
      <w:pPr>
        <w:spacing w:before="120" w:after="40"/>
      </w:pPr>
      <w:r>
        <w:rPr>
          <w:rFonts w:ascii="Calibri" w:hAnsi="Calibri"/>
          <w:b/>
          <w:color w:val="07477D"/>
          <w:sz w:val="20"/>
        </w:rPr>
        <w:t>2. Feedback Contínuo + Segurança Psicológica</w:t>
      </w:r>
    </w:p>
    <w:p>
      <w:pPr>
        <w:spacing w:before="0" w:after="80"/>
        <w:ind w:left="284"/>
      </w:pPr>
      <w:r>
        <w:rPr>
          <w:rFonts w:ascii="Calibri" w:hAnsi="Calibri"/>
          <w:color w:val="02243F"/>
          <w:sz w:val="18"/>
        </w:rPr>
        <w:t>Conversas de performance mensais usando ferramentas digitais. Criar ambiente onde o time compartilhe experiências sem medo. Não esperar avaliações anuais — o gap de feedback é o 3º maior problema identificado.</w:t>
      </w:r>
    </w:p>
    <w:p>
      <w:pPr>
        <w:spacing w:before="120" w:after="40"/>
      </w:pPr>
      <w:r>
        <w:rPr>
          <w:rFonts w:ascii="Calibri" w:hAnsi="Calibri"/>
          <w:b/>
          <w:color w:val="07477D"/>
          <w:sz w:val="20"/>
        </w:rPr>
        <w:t>3. Gestão por Resultados (Não por Horas)</w:t>
      </w:r>
    </w:p>
    <w:p>
      <w:pPr>
        <w:spacing w:before="0" w:after="80"/>
        <w:ind w:left="284"/>
      </w:pPr>
      <w:r>
        <w:rPr>
          <w:rFonts w:ascii="Calibri" w:hAnsi="Calibri"/>
          <w:color w:val="02243F"/>
          <w:sz w:val="18"/>
        </w:rPr>
        <w:t>Definir metas e entregas claras. Medir impacto, não presença ou horas logadas. A Falqon já opera com profissionais autônomos — formalizar isso gera confiança mútua.</w:t>
      </w:r>
    </w:p>
    <w:p>
      <w:pPr>
        <w:spacing w:before="120" w:after="40"/>
      </w:pPr>
      <w:r>
        <w:rPr>
          <w:rFonts w:ascii="Calibri" w:hAnsi="Calibri"/>
          <w:b/>
          <w:color w:val="07477D"/>
          <w:sz w:val="20"/>
        </w:rPr>
        <w:t>4. Reuniões "Remote-First"</w:t>
      </w:r>
    </w:p>
    <w:p>
      <w:pPr>
        <w:spacing w:before="0" w:after="80"/>
        <w:ind w:left="284"/>
      </w:pPr>
      <w:r>
        <w:rPr>
          <w:rFonts w:ascii="Calibri" w:hAnsi="Calibri"/>
          <w:color w:val="02243F"/>
          <w:sz w:val="18"/>
        </w:rPr>
        <w:t>Mesmo com parte do time no mesmo local, todos participam do próprio dispositivo. Notas compartilhadas de forma assíncrona. Zero desvantagem informacional para quem é remoto.</w:t>
      </w:r>
    </w:p>
    <w:p>
      <w:pPr>
        <w:spacing w:before="120" w:after="40"/>
      </w:pPr>
      <w:r>
        <w:rPr>
          <w:rFonts w:ascii="Calibri" w:hAnsi="Calibri"/>
          <w:b/>
          <w:color w:val="07477D"/>
          <w:sz w:val="20"/>
        </w:rPr>
        <w:t>5. Construção Intencional de Cultura</w:t>
      </w:r>
    </w:p>
    <w:p>
      <w:pPr>
        <w:spacing w:before="0" w:after="80"/>
        <w:ind w:left="284"/>
      </w:pPr>
      <w:r>
        <w:rPr>
          <w:rFonts w:ascii="Calibri" w:hAnsi="Calibri"/>
          <w:color w:val="02243F"/>
          <w:sz w:val="18"/>
        </w:rPr>
        <w:t>Check-ins pessoais no início de reuniões. Celebração pública de vitórias. Cafés virtuais e encontros informais. A cultura não acontece por acidente no remoto — precisa ser projetada.</w:t>
      </w:r>
    </w:p>
    <w:p>
      <w:r>
        <w:br w:type="page"/>
      </w:r>
    </w:p>
    <w:p>
      <w:pPr>
        <w:pStyle w:val="Heading1"/>
      </w:pPr>
      <w:r>
        <w:t>Top 5 Ações para o Q1/2026</w:t>
      </w:r>
    </w:p>
    <w:p>
      <w:pPr>
        <w:spacing w:after="120"/>
        <w:jc w:val="left"/>
      </w:pPr>
      <w:r>
        <w:rPr>
          <w:rFonts w:ascii="Calibri" w:hAnsi="Calibri"/>
          <w:b w:val="0"/>
          <w:color w:val="07477D"/>
          <w:sz w:val="20"/>
        </w:rPr>
        <w:t>As ações de maior impacto e urgência, priorizadas por dados da escuta.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3579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adership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57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40"/>
      </w:pPr>
      <w:r>
        <w:rPr>
          <w:rFonts w:ascii="Calibri" w:hAnsi="Calibri"/>
          <w:b/>
          <w:color w:val="FFFFFF"/>
          <w:sz w:val="28"/>
        </w:rPr>
        <w:t xml:space="preserve"> 1 </w:t>
      </w:r>
      <w:r>
        <w:rPr>
          <w:rFonts w:ascii="Calibri" w:hAnsi="Calibri"/>
          <w:b/>
          <w:color w:val="07477D"/>
          <w:sz w:val="26"/>
        </w:rPr>
        <w:t xml:space="preserve">  COMUNICAÇÃO RESET</w:t>
      </w:r>
    </w:p>
    <w:p>
      <w:pPr>
        <w:spacing w:before="0" w:after="40"/>
        <w:ind w:left="284"/>
      </w:pPr>
      <w:r>
        <w:rPr>
          <w:rFonts w:ascii="Calibri" w:hAnsi="Calibri"/>
          <w:b/>
          <w:color w:val="1480E2"/>
          <w:sz w:val="16"/>
        </w:rPr>
        <w:t>Prazo: Janeiro/2026  |  Responsável: Felix + Daniel</w:t>
      </w:r>
    </w:p>
    <w:p>
      <w:pPr>
        <w:spacing w:before="0" w:after="40"/>
        <w:ind w:left="284"/>
      </w:pPr>
      <w:r>
        <w:rPr>
          <w:rFonts w:ascii="Calibri" w:hAnsi="Calibri"/>
          <w:color w:val="02243F"/>
          <w:sz w:val="18"/>
        </w:rPr>
        <w:t>Reunião geral de abertura: situação real da empresa, aprendizados de 2025, plano 2026, esclarecimento sobre desligamentos. Objetivo: zerar o ciclo de especulação.</w:t>
      </w:r>
    </w:p>
    <w:p>
      <w:pPr>
        <w:spacing w:before="40" w:after="80"/>
        <w:ind w:left="284"/>
        <w:pBdr>
          <w:left w:val="single" w:sz="16" w:space="6" w:color="1FB3D7"/>
        </w:pBdr>
      </w:pPr>
      <w:r>
        <w:rPr>
          <w:sz w:val="16"/>
        </w:rPr>
        <w:t xml:space="preserve">📊 </w:t>
      </w:r>
      <w:r>
        <w:rPr>
          <w:rFonts w:ascii="Calibri" w:hAnsi="Calibri"/>
          <w:i/>
          <w:color w:val="07477D"/>
          <w:sz w:val="16"/>
        </w:rPr>
        <w:t>Dado: 43% dos colaboradores citaram falta de transparência como problema #1</w:t>
      </w:r>
    </w:p>
    <w:p>
      <w:pPr>
        <w:spacing w:before="200" w:after="40"/>
      </w:pPr>
      <w:r>
        <w:rPr>
          <w:rFonts w:ascii="Calibri" w:hAnsi="Calibri"/>
          <w:b/>
          <w:color w:val="FFFFFF"/>
          <w:sz w:val="28"/>
        </w:rPr>
        <w:t xml:space="preserve"> 2 </w:t>
      </w:r>
      <w:r>
        <w:rPr>
          <w:rFonts w:ascii="Calibri" w:hAnsi="Calibri"/>
          <w:b/>
          <w:color w:val="07477D"/>
          <w:sz w:val="26"/>
        </w:rPr>
        <w:t xml:space="preserve">  RESOLVER PROMESSAS PENDENTES</w:t>
      </w:r>
    </w:p>
    <w:p>
      <w:pPr>
        <w:spacing w:before="0" w:after="40"/>
        <w:ind w:left="284"/>
      </w:pPr>
      <w:r>
        <w:rPr>
          <w:rFonts w:ascii="Calibri" w:hAnsi="Calibri"/>
          <w:b/>
          <w:color w:val="1480E2"/>
          <w:sz w:val="16"/>
        </w:rPr>
        <w:t>Prazo: Janeiro/2026  |  Responsável: Felix + Pedro</w:t>
      </w:r>
    </w:p>
    <w:p>
      <w:pPr>
        <w:spacing w:before="0" w:after="40"/>
        <w:ind w:left="284"/>
      </w:pPr>
      <w:r>
        <w:rPr>
          <w:rFonts w:ascii="Calibri" w:hAnsi="Calibri"/>
          <w:color w:val="02243F"/>
          <w:sz w:val="18"/>
        </w:rPr>
        <w:t>Levantar TODAS as sinalizações de promoção/reconhecimento de 2025. Definir quais serão honradas, com prazo e condições. Comunicar individualmente.</w:t>
      </w:r>
    </w:p>
    <w:p>
      <w:pPr>
        <w:spacing w:before="40" w:after="80"/>
        <w:ind w:left="284"/>
        <w:pBdr>
          <w:left w:val="single" w:sz="16" w:space="6" w:color="1FB3D7"/>
        </w:pBdr>
      </w:pPr>
      <w:r>
        <w:rPr>
          <w:sz w:val="16"/>
        </w:rPr>
        <w:t xml:space="preserve">📊 </w:t>
      </w:r>
      <w:r>
        <w:rPr>
          <w:rFonts w:ascii="Calibri" w:hAnsi="Calibri"/>
          <w:i/>
          <w:color w:val="07477D"/>
          <w:sz w:val="16"/>
        </w:rPr>
        <w:t>Dado: Risco imediato de perda de talentos — gatilho #1 de saída do grupo de risco ALTO</w:t>
      </w:r>
    </w:p>
    <w:p>
      <w:pPr>
        <w:spacing w:before="200" w:after="40"/>
      </w:pPr>
      <w:r>
        <w:rPr>
          <w:rFonts w:ascii="Calibri" w:hAnsi="Calibri"/>
          <w:b/>
          <w:color w:val="FFFFFF"/>
          <w:sz w:val="28"/>
        </w:rPr>
        <w:t xml:space="preserve"> 3 </w:t>
      </w:r>
      <w:r>
        <w:rPr>
          <w:rFonts w:ascii="Calibri" w:hAnsi="Calibri"/>
          <w:b/>
          <w:color w:val="07477D"/>
          <w:sz w:val="26"/>
        </w:rPr>
        <w:t xml:space="preserve">  RITUAIS DE LIDERANÇA REMOTA</w:t>
      </w:r>
    </w:p>
    <w:p>
      <w:pPr>
        <w:spacing w:before="0" w:after="40"/>
        <w:ind w:left="284"/>
      </w:pPr>
      <w:r>
        <w:rPr>
          <w:rFonts w:ascii="Calibri" w:hAnsi="Calibri"/>
          <w:b/>
          <w:color w:val="1480E2"/>
          <w:sz w:val="16"/>
        </w:rPr>
        <w:t>Prazo: Janeiro/2026  |  Responsável: Todos os líderes</w:t>
      </w:r>
    </w:p>
    <w:p>
      <w:pPr>
        <w:spacing w:before="0" w:after="40"/>
        <w:ind w:left="284"/>
      </w:pPr>
      <w:r>
        <w:rPr>
          <w:rFonts w:ascii="Calibri" w:hAnsi="Calibri"/>
          <w:color w:val="02243F"/>
          <w:sz w:val="18"/>
        </w:rPr>
        <w:t>1:1 quinzenal obrigatório, gate único de demanda por colaborador, horários de "porta aberta" virtual da Diretoria.</w:t>
      </w:r>
    </w:p>
    <w:p>
      <w:pPr>
        <w:spacing w:before="40" w:after="80"/>
        <w:ind w:left="284"/>
        <w:pBdr>
          <w:left w:val="single" w:sz="16" w:space="6" w:color="1FB3D7"/>
        </w:pBdr>
      </w:pPr>
      <w:r>
        <w:rPr>
          <w:sz w:val="16"/>
        </w:rPr>
        <w:t xml:space="preserve">📊 </w:t>
      </w:r>
      <w:r>
        <w:rPr>
          <w:rFonts w:ascii="Calibri" w:hAnsi="Calibri"/>
          <w:i/>
          <w:color w:val="07477D"/>
          <w:sz w:val="16"/>
        </w:rPr>
        <w:t>Dado: Distanciamento da Diretoria é o 2º problema mais citado — precisa de estrutura, não de presença física</w:t>
      </w:r>
    </w:p>
    <w:p>
      <w:pPr>
        <w:spacing w:before="200" w:after="40"/>
      </w:pPr>
      <w:r>
        <w:rPr>
          <w:rFonts w:ascii="Calibri" w:hAnsi="Calibri"/>
          <w:b/>
          <w:color w:val="FFFFFF"/>
          <w:sz w:val="28"/>
        </w:rPr>
        <w:t xml:space="preserve"> 4 </w:t>
      </w:r>
      <w:r>
        <w:rPr>
          <w:rFonts w:ascii="Calibri" w:hAnsi="Calibri"/>
          <w:b/>
          <w:color w:val="07477D"/>
          <w:sz w:val="26"/>
        </w:rPr>
        <w:t xml:space="preserve">  NEWSLETTER + Q&amp;A</w:t>
      </w:r>
    </w:p>
    <w:p>
      <w:pPr>
        <w:spacing w:before="0" w:after="40"/>
        <w:ind w:left="284"/>
      </w:pPr>
      <w:r>
        <w:rPr>
          <w:rFonts w:ascii="Calibri" w:hAnsi="Calibri"/>
          <w:b/>
          <w:color w:val="1480E2"/>
          <w:sz w:val="16"/>
        </w:rPr>
        <w:t>Prazo: Fevereiro/2026  |  Responsável: Daniel</w:t>
      </w:r>
    </w:p>
    <w:p>
      <w:pPr>
        <w:spacing w:before="0" w:after="40"/>
        <w:ind w:left="284"/>
      </w:pPr>
      <w:r>
        <w:rPr>
          <w:rFonts w:ascii="Calibri" w:hAnsi="Calibri"/>
          <w:color w:val="02243F"/>
          <w:sz w:val="18"/>
        </w:rPr>
        <w:t>Newsletter mensal da Diretoria (decisões, resultados, "porquês") + Q&amp;A trimestral aberto com perguntas anônimas permitidas.</w:t>
      </w:r>
    </w:p>
    <w:p>
      <w:pPr>
        <w:spacing w:before="40" w:after="80"/>
        <w:ind w:left="284"/>
        <w:pBdr>
          <w:left w:val="single" w:sz="16" w:space="6" w:color="1FB3D7"/>
        </w:pBdr>
      </w:pPr>
      <w:r>
        <w:rPr>
          <w:sz w:val="16"/>
        </w:rPr>
        <w:t xml:space="preserve">📊 </w:t>
      </w:r>
      <w:r>
        <w:rPr>
          <w:rFonts w:ascii="Calibri" w:hAnsi="Calibri"/>
          <w:i/>
          <w:color w:val="07477D"/>
          <w:sz w:val="16"/>
        </w:rPr>
        <w:t>Dado: Informações chegam distorcidas por intermediários — canal direto elimina rumores</w:t>
      </w:r>
    </w:p>
    <w:p>
      <w:pPr>
        <w:spacing w:before="200" w:after="40"/>
      </w:pPr>
      <w:r>
        <w:rPr>
          <w:rFonts w:ascii="Calibri" w:hAnsi="Calibri"/>
          <w:b/>
          <w:color w:val="FFFFFF"/>
          <w:sz w:val="28"/>
        </w:rPr>
        <w:t xml:space="preserve"> 5 </w:t>
      </w:r>
      <w:r>
        <w:rPr>
          <w:rFonts w:ascii="Calibri" w:hAnsi="Calibri"/>
          <w:b/>
          <w:color w:val="07477D"/>
          <w:sz w:val="26"/>
        </w:rPr>
        <w:t xml:space="preserve">  PLANO DE CARREIRA V1</w:t>
      </w:r>
    </w:p>
    <w:p>
      <w:pPr>
        <w:spacing w:before="0" w:after="40"/>
        <w:ind w:left="284"/>
      </w:pPr>
      <w:r>
        <w:rPr>
          <w:rFonts w:ascii="Calibri" w:hAnsi="Calibri"/>
          <w:b/>
          <w:color w:val="1480E2"/>
          <w:sz w:val="16"/>
        </w:rPr>
        <w:t>Prazo: Fevereiro/2026  |  Responsável: Pedro + CIH</w:t>
      </w:r>
    </w:p>
    <w:p>
      <w:pPr>
        <w:spacing w:before="0" w:after="40"/>
        <w:ind w:left="284"/>
      </w:pPr>
      <w:r>
        <w:rPr>
          <w:rFonts w:ascii="Calibri" w:hAnsi="Calibri"/>
          <w:color w:val="02243F"/>
          <w:sz w:val="18"/>
        </w:rPr>
        <w:t>Criar estrutura com níveis de senioridade, critérios de promoção e faixas de referência. Não precisa ser perfeito — precisa existir e ser comunicado.</w:t>
      </w:r>
    </w:p>
    <w:p>
      <w:pPr>
        <w:spacing w:before="40" w:after="80"/>
        <w:ind w:left="284"/>
        <w:pBdr>
          <w:left w:val="single" w:sz="16" w:space="6" w:color="1FB3D7"/>
        </w:pBdr>
      </w:pPr>
      <w:r>
        <w:rPr>
          <w:sz w:val="16"/>
        </w:rPr>
        <w:t xml:space="preserve">📊 </w:t>
      </w:r>
      <w:r>
        <w:rPr>
          <w:rFonts w:ascii="Calibri" w:hAnsi="Calibri"/>
          <w:i/>
          <w:color w:val="07477D"/>
          <w:sz w:val="16"/>
        </w:rPr>
        <w:t>Dado: Classificado como INEXISTENTE no termômetro — demanda explícita da equipe</w:t>
      </w:r>
    </w:p>
    <w:p>
      <w:r>
        <w:br w:type="page"/>
      </w:r>
    </w:p>
    <w:p>
      <w:pPr>
        <w:pStyle w:val="Heading1"/>
      </w:pPr>
      <w:r>
        <w:t>Dashboard de Sentimentos</w:t>
      </w:r>
    </w:p>
    <w:p>
      <w:pPr>
        <w:spacing w:after="120"/>
        <w:jc w:val="left"/>
      </w:pPr>
      <w:r>
        <w:rPr>
          <w:rFonts w:ascii="Calibri" w:hAnsi="Calibri"/>
          <w:b w:val="0"/>
          <w:color w:val="07477D"/>
          <w:sz w:val="20"/>
        </w:rPr>
        <w:t>Mapeamento emocional da equipe — base para decisões de gestão de pessoas.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7477D"/>
          <w:bottom w:val="single" w:sz="4" w:space="0" w:color="07477D"/>
          <w:insideH w:val="single" w:sz="2" w:space="0" w:color="E6E6E6"/>
          <w:left w:val="none" w:sz="0" w:space="0" w:color="auto"/>
          <w:right w:val="none" w:sz="0" w:space="0" w:color="auto"/>
          <w:insideV w:val="none" w:sz="0" w:space="0" w:color="auto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7477D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SENTIMENTO</w:t>
            </w:r>
          </w:p>
        </w:tc>
        <w:tc>
          <w:tcPr>
            <w:tcW w:type="dxa" w:w="2351"/>
            <w:shd w:fill="07477D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%</w:t>
            </w:r>
          </w:p>
        </w:tc>
        <w:tc>
          <w:tcPr>
            <w:tcW w:type="dxa" w:w="2351"/>
            <w:shd w:fill="07477D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FREQ.</w:t>
            </w:r>
          </w:p>
        </w:tc>
        <w:tc>
          <w:tcPr>
            <w:tcW w:type="dxa" w:w="2351"/>
            <w:shd w:fill="07477D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CONTEXTO</w:t>
            </w:r>
          </w:p>
        </w:tc>
      </w:tr>
      <w:tr>
        <w:tc>
          <w:tcPr>
            <w:tcW w:type="dxa" w:w="2351"/>
            <w:shd w:fill="E6E6E6" w:val="clear"/>
          </w:tcPr>
          <w:p>
            <w:r>
              <w:rPr>
                <w:rFonts w:ascii="Calibri" w:hAnsi="Calibri"/>
                <w:b/>
                <w:color w:val="2E7D32"/>
                <w:sz w:val="18"/>
              </w:rPr>
              <w:t>Otimismo Cauteloso</w:t>
            </w:r>
          </w:p>
        </w:tc>
        <w:tc>
          <w:tcPr>
            <w:tcW w:type="dxa" w:w="2351"/>
            <w:shd w:fill="E6E6E6" w:val="clear"/>
          </w:tcPr>
          <w:p>
            <w:r>
              <w:rPr>
                <w:rFonts w:ascii="Calibri" w:hAnsi="Calibri"/>
                <w:color w:val="02243F"/>
                <w:sz w:val="18"/>
              </w:rPr>
              <w:t>57%</w:t>
            </w:r>
          </w:p>
        </w:tc>
        <w:tc>
          <w:tcPr>
            <w:tcW w:type="dxa" w:w="2351"/>
            <w:shd w:fill="E6E6E6" w:val="clear"/>
          </w:tcPr>
          <w:p>
            <w:r>
              <w:rPr>
                <w:rFonts w:ascii="Calibri" w:hAnsi="Calibri"/>
                <w:color w:val="02243F"/>
                <w:sz w:val="18"/>
              </w:rPr>
              <w:t>8/14</w:t>
            </w:r>
          </w:p>
        </w:tc>
        <w:tc>
          <w:tcPr>
            <w:tcW w:type="dxa" w:w="2351"/>
            <w:shd w:fill="E6E6E6" w:val="clear"/>
          </w:tcPr>
          <w:p>
            <w:r>
              <w:rPr>
                <w:rFonts w:ascii="Calibri" w:hAnsi="Calibri"/>
                <w:color w:val="02243F"/>
                <w:sz w:val="18"/>
              </w:rPr>
              <w:t>Querem acreditar em 2026 — condicionado a ações concretas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b/>
                <w:color w:val="D32F2F"/>
                <w:sz w:val="18"/>
              </w:rPr>
              <w:t>Insegurança / Apreensão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02243F"/>
                <w:sz w:val="18"/>
              </w:rPr>
              <w:t>43%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02243F"/>
                <w:sz w:val="18"/>
              </w:rPr>
              <w:t>6/14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02243F"/>
                <w:sz w:val="18"/>
              </w:rPr>
              <w:t>Desligamentos sem explicação + futuro incerto</w:t>
            </w:r>
          </w:p>
        </w:tc>
      </w:tr>
      <w:tr>
        <w:tc>
          <w:tcPr>
            <w:tcW w:type="dxa" w:w="2351"/>
            <w:shd w:fill="E6E6E6" w:val="clear"/>
          </w:tcPr>
          <w:p>
            <w:r>
              <w:rPr>
                <w:rFonts w:ascii="Calibri" w:hAnsi="Calibri"/>
                <w:b/>
                <w:color w:val="1480E2"/>
                <w:sz w:val="18"/>
              </w:rPr>
              <w:t>Realização / Satisfação</w:t>
            </w:r>
          </w:p>
        </w:tc>
        <w:tc>
          <w:tcPr>
            <w:tcW w:type="dxa" w:w="2351"/>
            <w:shd w:fill="E6E6E6" w:val="clear"/>
          </w:tcPr>
          <w:p>
            <w:r>
              <w:rPr>
                <w:rFonts w:ascii="Calibri" w:hAnsi="Calibri"/>
                <w:color w:val="02243F"/>
                <w:sz w:val="18"/>
              </w:rPr>
              <w:t>29%</w:t>
            </w:r>
          </w:p>
        </w:tc>
        <w:tc>
          <w:tcPr>
            <w:tcW w:type="dxa" w:w="2351"/>
            <w:shd w:fill="E6E6E6" w:val="clear"/>
          </w:tcPr>
          <w:p>
            <w:r>
              <w:rPr>
                <w:rFonts w:ascii="Calibri" w:hAnsi="Calibri"/>
                <w:color w:val="02243F"/>
                <w:sz w:val="18"/>
              </w:rPr>
              <w:t>4/14</w:t>
            </w:r>
          </w:p>
        </w:tc>
        <w:tc>
          <w:tcPr>
            <w:tcW w:type="dxa" w:w="2351"/>
            <w:shd w:fill="E6E6E6" w:val="clear"/>
          </w:tcPr>
          <w:p>
            <w:r>
              <w:rPr>
                <w:rFonts w:ascii="Calibri" w:hAnsi="Calibri"/>
                <w:color w:val="02243F"/>
                <w:sz w:val="18"/>
              </w:rPr>
              <w:t>Ligada a entregas técnicas e crescimento pessoal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b/>
                <w:color w:val="F57C00"/>
                <w:sz w:val="18"/>
              </w:rPr>
              <w:t>Cansaço / Esgotamento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02243F"/>
                <w:sz w:val="18"/>
              </w:rPr>
              <w:t>21%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02243F"/>
                <w:sz w:val="18"/>
              </w:rPr>
              <w:t>3/14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02243F"/>
                <w:sz w:val="18"/>
              </w:rPr>
              <w:t>Funções-chave com sobrecarga após saídas</w:t>
            </w:r>
          </w:p>
        </w:tc>
      </w:tr>
      <w:tr>
        <w:tc>
          <w:tcPr>
            <w:tcW w:type="dxa" w:w="2351"/>
            <w:shd w:fill="E6E6E6" w:val="clear"/>
          </w:tcPr>
          <w:p>
            <w:r>
              <w:rPr>
                <w:rFonts w:ascii="Calibri" w:hAnsi="Calibri"/>
                <w:b/>
                <w:color w:val="F57C00"/>
                <w:sz w:val="18"/>
              </w:rPr>
              <w:t>Frustração</w:t>
            </w:r>
          </w:p>
        </w:tc>
        <w:tc>
          <w:tcPr>
            <w:tcW w:type="dxa" w:w="2351"/>
            <w:shd w:fill="E6E6E6" w:val="clear"/>
          </w:tcPr>
          <w:p>
            <w:r>
              <w:rPr>
                <w:rFonts w:ascii="Calibri" w:hAnsi="Calibri"/>
                <w:color w:val="02243F"/>
                <w:sz w:val="18"/>
              </w:rPr>
              <w:t>21%</w:t>
            </w:r>
          </w:p>
        </w:tc>
        <w:tc>
          <w:tcPr>
            <w:tcW w:type="dxa" w:w="2351"/>
            <w:shd w:fill="E6E6E6" w:val="clear"/>
          </w:tcPr>
          <w:p>
            <w:r>
              <w:rPr>
                <w:rFonts w:ascii="Calibri" w:hAnsi="Calibri"/>
                <w:color w:val="02243F"/>
                <w:sz w:val="18"/>
              </w:rPr>
              <w:t>3/14</w:t>
            </w:r>
          </w:p>
        </w:tc>
        <w:tc>
          <w:tcPr>
            <w:tcW w:type="dxa" w:w="2351"/>
            <w:shd w:fill="E6E6E6" w:val="clear"/>
          </w:tcPr>
          <w:p>
            <w:r>
              <w:rPr>
                <w:rFonts w:ascii="Calibri" w:hAnsi="Calibri"/>
                <w:color w:val="02243F"/>
                <w:sz w:val="18"/>
              </w:rPr>
              <w:t>Promessas não cumpridas e falta de reconhecimento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b/>
                <w:color w:val="2E7D32"/>
                <w:sz w:val="18"/>
              </w:rPr>
              <w:t>Gratidão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02243F"/>
                <w:sz w:val="18"/>
              </w:rPr>
              <w:t>21%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02243F"/>
                <w:sz w:val="18"/>
              </w:rPr>
              <w:t>3/14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02243F"/>
                <w:sz w:val="18"/>
              </w:rPr>
              <w:t>Pelo aprendizado, promoções e cultura colaborativa</w:t>
            </w:r>
          </w:p>
        </w:tc>
      </w:tr>
    </w:tbl>
    <w:p/>
    <w:p>
      <w:pPr>
        <w:spacing w:before="120" w:after="120"/>
        <w:pBdr>
          <w:left w:val="single" w:sz="24" w:space="8" w:color="1FB3D7"/>
        </w:pBdr>
        <w:shd w:fill="F0F8FF" w:val="clear"/>
        <w:ind w:left="284"/>
      </w:pPr>
      <w:r>
        <w:rPr>
          <w:sz w:val="18"/>
        </w:rPr>
        <w:t xml:space="preserve">💡 </w:t>
      </w:r>
      <w:r>
        <w:rPr>
          <w:rFonts w:ascii="Calibri" w:hAnsi="Calibri"/>
          <w:i/>
          <w:color w:val="02243F"/>
          <w:sz w:val="18"/>
        </w:rPr>
        <w:t>O sentimento predominante é OTIMISMO CAUTELOSO (57%). A equipe quer crescer — mas colocou condições claras. Esse é o dado mais estratégico: a janela de oportunidade existe, mas tem prazo.</w:t>
      </w:r>
    </w:p>
    <w:p>
      <w:pPr>
        <w:pStyle w:val="Heading1"/>
      </w:pPr>
      <w:r>
        <w:t>O Custo de Não Agir</w:t>
      </w:r>
    </w:p>
    <w:p>
      <w:pPr>
        <w:spacing w:after="120"/>
        <w:jc w:val="left"/>
      </w:pPr>
      <w:r>
        <w:rPr>
          <w:rFonts w:ascii="Calibri" w:hAnsi="Calibri"/>
          <w:b w:val="0"/>
          <w:color w:val="07477D"/>
          <w:sz w:val="20"/>
        </w:rPr>
        <w:t>Projeção do impacto financeiro e operacional da perda de talentos.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7477D"/>
          <w:bottom w:val="single" w:sz="4" w:space="0" w:color="07477D"/>
          <w:insideH w:val="single" w:sz="2" w:space="0" w:color="E6E6E6"/>
          <w:left w:val="none" w:sz="0" w:space="0" w:color="auto"/>
          <w:right w:val="none" w:sz="0" w:space="0" w:color="auto"/>
          <w:insideV w:val="none" w:sz="0" w:space="0" w:color="auto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fill="07477D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CENÁRIO</w:t>
            </w:r>
          </w:p>
        </w:tc>
        <w:tc>
          <w:tcPr>
            <w:tcW w:type="dxa" w:w="3135"/>
            <w:shd w:fill="07477D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IMPACTO</w:t>
            </w:r>
          </w:p>
        </w:tc>
        <w:tc>
          <w:tcPr>
            <w:tcW w:type="dxa" w:w="3135"/>
            <w:shd w:fill="07477D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CUSTO ESTIMADO</w:t>
            </w:r>
          </w:p>
        </w:tc>
      </w:tr>
      <w:tr>
        <w:tc>
          <w:tcPr>
            <w:tcW w:type="dxa" w:w="3135"/>
            <w:shd w:fill="E6E6E6" w:val="clear"/>
          </w:tcPr>
          <w:p>
            <w:r>
              <w:rPr>
                <w:rFonts w:ascii="Calibri" w:hAnsi="Calibri"/>
                <w:color w:val="02243F"/>
                <w:sz w:val="18"/>
              </w:rPr>
              <w:t>Perda de 1 desenvolvedor sênior</w:t>
            </w:r>
          </w:p>
        </w:tc>
        <w:tc>
          <w:tcPr>
            <w:tcW w:type="dxa" w:w="3135"/>
            <w:shd w:fill="E6E6E6" w:val="clear"/>
          </w:tcPr>
          <w:p>
            <w:r>
              <w:rPr>
                <w:rFonts w:ascii="Calibri" w:hAnsi="Calibri"/>
                <w:color w:val="02243F"/>
                <w:sz w:val="18"/>
              </w:rPr>
              <w:t>Projeto atrasado + recrutamento + onboarding</w:t>
            </w:r>
          </w:p>
        </w:tc>
        <w:tc>
          <w:tcPr>
            <w:tcW w:type="dxa" w:w="3135"/>
            <w:shd w:fill="E6E6E6" w:val="clear"/>
          </w:tcPr>
          <w:p>
            <w:r>
              <w:rPr>
                <w:rFonts w:ascii="Calibri" w:hAnsi="Calibri"/>
                <w:color w:val="02243F"/>
                <w:sz w:val="18"/>
              </w:rPr>
              <w:t>6-9 meses de salário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color w:val="02243F"/>
                <w:sz w:val="18"/>
              </w:rPr>
              <w:t>Perda de 2-3 colaboradores em cascata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02243F"/>
                <w:sz w:val="18"/>
              </w:rPr>
              <w:t>Sobrecarga nos remanescentes + novo ciclo de esgotamento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02243F"/>
                <w:sz w:val="18"/>
              </w:rPr>
              <w:t>12-18 meses de salário acumulados</w:t>
            </w:r>
          </w:p>
        </w:tc>
      </w:tr>
      <w:tr>
        <w:tc>
          <w:tcPr>
            <w:tcW w:type="dxa" w:w="3135"/>
            <w:shd w:fill="E6E6E6" w:val="clear"/>
          </w:tcPr>
          <w:p>
            <w:r>
              <w:rPr>
                <w:rFonts w:ascii="Calibri" w:hAnsi="Calibri"/>
                <w:color w:val="02243F"/>
                <w:sz w:val="18"/>
              </w:rPr>
              <w:t>Perda do líder técnico de referência</w:t>
            </w:r>
          </w:p>
        </w:tc>
        <w:tc>
          <w:tcPr>
            <w:tcW w:type="dxa" w:w="3135"/>
            <w:shd w:fill="E6E6E6" w:val="clear"/>
          </w:tcPr>
          <w:p>
            <w:r>
              <w:rPr>
                <w:rFonts w:ascii="Calibri" w:hAnsi="Calibri"/>
                <w:color w:val="02243F"/>
                <w:sz w:val="18"/>
              </w:rPr>
              <w:t>Risco de debandada — citado como âncora de retenção</w:t>
            </w:r>
          </w:p>
        </w:tc>
        <w:tc>
          <w:tcPr>
            <w:tcW w:type="dxa" w:w="3135"/>
            <w:shd w:fill="E6E6E6" w:val="clear"/>
          </w:tcPr>
          <w:p>
            <w:r>
              <w:rPr>
                <w:rFonts w:ascii="Calibri" w:hAnsi="Calibri"/>
                <w:color w:val="02243F"/>
                <w:sz w:val="18"/>
              </w:rPr>
              <w:t>Impacto incalculável na cultura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color w:val="02243F"/>
                <w:sz w:val="18"/>
              </w:rPr>
              <w:t>Rumor de falência se consolida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02243F"/>
                <w:sz w:val="18"/>
              </w:rPr>
              <w:t>Erosão total de confiança + busca ativa de vagas em massa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02243F"/>
                <w:sz w:val="18"/>
              </w:rPr>
              <w:t>Pode inviabilizar projetos estratégicos 2026</w:t>
            </w:r>
          </w:p>
        </w:tc>
      </w:tr>
    </w:tbl>
    <w:p/>
    <w:p>
      <w:pPr>
        <w:spacing w:before="120" w:after="120"/>
        <w:pBdr>
          <w:left w:val="single" w:sz="24" w:space="8" w:color="D32F2F"/>
        </w:pBdr>
        <w:shd w:fill="FFF5F5" w:val="clear"/>
        <w:ind w:left="284"/>
      </w:pPr>
      <w:r>
        <w:rPr>
          <w:color w:val="D32F2F"/>
          <w:sz w:val="20"/>
        </w:rPr>
        <w:t xml:space="preserve">⚠ </w:t>
      </w:r>
      <w:r>
        <w:rPr>
          <w:rFonts w:ascii="Calibri" w:hAnsi="Calibri"/>
          <w:b/>
          <w:color w:val="D32F2F"/>
          <w:sz w:val="18"/>
        </w:rPr>
        <w:t>A maioria das ações recomendadas NÃO requer investimento financeiro significativo. Requer DISCIPLINA, CONSISTÊNCIA e PRESENÇA. O maior custo é a omissão.</w:t>
      </w:r>
    </w:p>
    <w:p>
      <w:r>
        <w:br w:type="page"/>
      </w:r>
    </w:p>
    <w:p>
      <w:pPr>
        <w:pStyle w:val="Heading1"/>
      </w:pPr>
      <w:r>
        <w:t>Indicadores de Acompanhamento</w:t>
      </w:r>
    </w:p>
    <w:p>
      <w:pPr>
        <w:spacing w:after="120"/>
        <w:jc w:val="left"/>
      </w:pPr>
      <w:r>
        <w:rPr>
          <w:rFonts w:ascii="Calibri" w:hAnsi="Calibri"/>
          <w:b w:val="0"/>
          <w:color w:val="07477D"/>
          <w:sz w:val="20"/>
        </w:rPr>
        <w:t>KPIs para monitorar a evolução ao longo de 2026.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7477D"/>
          <w:bottom w:val="single" w:sz="4" w:space="0" w:color="07477D"/>
          <w:insideH w:val="single" w:sz="2" w:space="0" w:color="E6E6E6"/>
          <w:left w:val="none" w:sz="0" w:space="0" w:color="auto"/>
          <w:right w:val="none" w:sz="0" w:space="0" w:color="auto"/>
          <w:insideV w:val="none" w:sz="0" w:space="0" w:color="auto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7477D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INDICADOR</w:t>
            </w:r>
          </w:p>
        </w:tc>
        <w:tc>
          <w:tcPr>
            <w:tcW w:type="dxa" w:w="2351"/>
            <w:shd w:fill="07477D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FÓRMULA</w:t>
            </w:r>
          </w:p>
        </w:tc>
        <w:tc>
          <w:tcPr>
            <w:tcW w:type="dxa" w:w="2351"/>
            <w:shd w:fill="07477D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META</w:t>
            </w:r>
          </w:p>
        </w:tc>
        <w:tc>
          <w:tcPr>
            <w:tcW w:type="dxa" w:w="2351"/>
            <w:shd w:fill="07477D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FREQUÊNCIA</w:t>
            </w:r>
          </w:p>
        </w:tc>
      </w:tr>
      <w:tr>
        <w:tc>
          <w:tcPr>
            <w:tcW w:type="dxa" w:w="2351"/>
            <w:shd w:fill="E6E6E6" w:val="clear"/>
          </w:tcPr>
          <w:p>
            <w:r>
              <w:rPr>
                <w:rFonts w:ascii="Calibri" w:hAnsi="Calibri"/>
                <w:color w:val="02243F"/>
                <w:sz w:val="18"/>
              </w:rPr>
              <w:t>Turnover voluntário</w:t>
            </w:r>
          </w:p>
        </w:tc>
        <w:tc>
          <w:tcPr>
            <w:tcW w:type="dxa" w:w="2351"/>
            <w:shd w:fill="E6E6E6" w:val="clear"/>
          </w:tcPr>
          <w:p>
            <w:r>
              <w:rPr>
                <w:rFonts w:ascii="Calibri" w:hAnsi="Calibri"/>
                <w:color w:val="02243F"/>
                <w:sz w:val="18"/>
              </w:rPr>
              <w:t>Saídas voluntárias / headcount</w:t>
            </w:r>
          </w:p>
        </w:tc>
        <w:tc>
          <w:tcPr>
            <w:tcW w:type="dxa" w:w="2351"/>
            <w:shd w:fill="E6E6E6" w:val="clear"/>
          </w:tcPr>
          <w:p>
            <w:r>
              <w:rPr>
                <w:rFonts w:ascii="Calibri" w:hAnsi="Calibri"/>
                <w:color w:val="02243F"/>
                <w:sz w:val="18"/>
              </w:rPr>
              <w:t>&lt; 10% ao ano</w:t>
            </w:r>
          </w:p>
        </w:tc>
        <w:tc>
          <w:tcPr>
            <w:tcW w:type="dxa" w:w="2351"/>
            <w:shd w:fill="E6E6E6" w:val="clear"/>
          </w:tcPr>
          <w:p>
            <w:r>
              <w:rPr>
                <w:rFonts w:ascii="Calibri" w:hAnsi="Calibri"/>
                <w:color w:val="02243F"/>
                <w:sz w:val="18"/>
              </w:rPr>
              <w:t>Mensal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color w:val="02243F"/>
                <w:sz w:val="18"/>
              </w:rPr>
              <w:t>Turnover precoce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02243F"/>
                <w:sz w:val="18"/>
              </w:rPr>
              <w:t>Saídas em &lt; 3 meses / contratações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02243F"/>
                <w:sz w:val="18"/>
              </w:rPr>
              <w:t>&lt; 5%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02243F"/>
                <w:sz w:val="18"/>
              </w:rPr>
              <w:t>Trimestral</w:t>
            </w:r>
          </w:p>
        </w:tc>
      </w:tr>
      <w:tr>
        <w:tc>
          <w:tcPr>
            <w:tcW w:type="dxa" w:w="2351"/>
            <w:shd w:fill="E6E6E6" w:val="clear"/>
          </w:tcPr>
          <w:p>
            <w:r>
              <w:rPr>
                <w:rFonts w:ascii="Calibri" w:hAnsi="Calibri"/>
                <w:color w:val="02243F"/>
                <w:sz w:val="18"/>
              </w:rPr>
              <w:t>Aderência ao 1:1</w:t>
            </w:r>
          </w:p>
        </w:tc>
        <w:tc>
          <w:tcPr>
            <w:tcW w:type="dxa" w:w="2351"/>
            <w:shd w:fill="E6E6E6" w:val="clear"/>
          </w:tcPr>
          <w:p>
            <w:r>
              <w:rPr>
                <w:rFonts w:ascii="Calibri" w:hAnsi="Calibri"/>
                <w:color w:val="02243F"/>
                <w:sz w:val="18"/>
              </w:rPr>
              <w:t>Realizados / previstos</w:t>
            </w:r>
          </w:p>
        </w:tc>
        <w:tc>
          <w:tcPr>
            <w:tcW w:type="dxa" w:w="2351"/>
            <w:shd w:fill="E6E6E6" w:val="clear"/>
          </w:tcPr>
          <w:p>
            <w:r>
              <w:rPr>
                <w:rFonts w:ascii="Calibri" w:hAnsi="Calibri"/>
                <w:color w:val="02243F"/>
                <w:sz w:val="18"/>
              </w:rPr>
              <w:t>&gt; 90%</w:t>
            </w:r>
          </w:p>
        </w:tc>
        <w:tc>
          <w:tcPr>
            <w:tcW w:type="dxa" w:w="2351"/>
            <w:shd w:fill="E6E6E6" w:val="clear"/>
          </w:tcPr>
          <w:p>
            <w:r>
              <w:rPr>
                <w:rFonts w:ascii="Calibri" w:hAnsi="Calibri"/>
                <w:color w:val="02243F"/>
                <w:sz w:val="18"/>
              </w:rPr>
              <w:t>Mensal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color w:val="02243F"/>
                <w:sz w:val="18"/>
              </w:rPr>
              <w:t>Newsletter publicada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02243F"/>
                <w:sz w:val="18"/>
              </w:rPr>
              <w:t>Edições / meses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02243F"/>
                <w:sz w:val="18"/>
              </w:rPr>
              <w:t>100%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02243F"/>
                <w:sz w:val="18"/>
              </w:rPr>
              <w:t>Mensal</w:t>
            </w:r>
          </w:p>
        </w:tc>
      </w:tr>
      <w:tr>
        <w:tc>
          <w:tcPr>
            <w:tcW w:type="dxa" w:w="2351"/>
            <w:shd w:fill="E6E6E6" w:val="clear"/>
          </w:tcPr>
          <w:p>
            <w:r>
              <w:rPr>
                <w:rFonts w:ascii="Calibri" w:hAnsi="Calibri"/>
                <w:color w:val="02243F"/>
                <w:sz w:val="18"/>
              </w:rPr>
              <w:t>Q&amp;A realizado</w:t>
            </w:r>
          </w:p>
        </w:tc>
        <w:tc>
          <w:tcPr>
            <w:tcW w:type="dxa" w:w="2351"/>
            <w:shd w:fill="E6E6E6" w:val="clear"/>
          </w:tcPr>
          <w:p>
            <w:r>
              <w:rPr>
                <w:rFonts w:ascii="Calibri" w:hAnsi="Calibri"/>
                <w:color w:val="02243F"/>
                <w:sz w:val="18"/>
              </w:rPr>
              <w:t>Sessões realizadas / previstas</w:t>
            </w:r>
          </w:p>
        </w:tc>
        <w:tc>
          <w:tcPr>
            <w:tcW w:type="dxa" w:w="2351"/>
            <w:shd w:fill="E6E6E6" w:val="clear"/>
          </w:tcPr>
          <w:p>
            <w:r>
              <w:rPr>
                <w:rFonts w:ascii="Calibri" w:hAnsi="Calibri"/>
                <w:color w:val="02243F"/>
                <w:sz w:val="18"/>
              </w:rPr>
              <w:t>100%</w:t>
            </w:r>
          </w:p>
        </w:tc>
        <w:tc>
          <w:tcPr>
            <w:tcW w:type="dxa" w:w="2351"/>
            <w:shd w:fill="E6E6E6" w:val="clear"/>
          </w:tcPr>
          <w:p>
            <w:r>
              <w:rPr>
                <w:rFonts w:ascii="Calibri" w:hAnsi="Calibri"/>
                <w:color w:val="02243F"/>
                <w:sz w:val="18"/>
              </w:rPr>
              <w:t>Trimestral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color w:val="02243F"/>
                <w:sz w:val="18"/>
              </w:rPr>
              <w:t>Pesquisa de Pulso (NPS)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02243F"/>
                <w:sz w:val="18"/>
              </w:rPr>
              <w:t>NPS do time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02243F"/>
                <w:sz w:val="18"/>
              </w:rPr>
              <w:t>&gt; 30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02243F"/>
                <w:sz w:val="18"/>
              </w:rPr>
              <w:t>Trimestral</w:t>
            </w:r>
          </w:p>
        </w:tc>
      </w:tr>
      <w:tr>
        <w:tc>
          <w:tcPr>
            <w:tcW w:type="dxa" w:w="2351"/>
            <w:shd w:fill="E6E6E6" w:val="clear"/>
          </w:tcPr>
          <w:p>
            <w:r>
              <w:rPr>
                <w:rFonts w:ascii="Calibri" w:hAnsi="Calibri"/>
                <w:color w:val="02243F"/>
                <w:sz w:val="18"/>
              </w:rPr>
              <w:t>Certificações obtidas</w:t>
            </w:r>
          </w:p>
        </w:tc>
        <w:tc>
          <w:tcPr>
            <w:tcW w:type="dxa" w:w="2351"/>
            <w:shd w:fill="E6E6E6" w:val="clear"/>
          </w:tcPr>
          <w:p>
            <w:r>
              <w:rPr>
                <w:rFonts w:ascii="Calibri" w:hAnsi="Calibri"/>
                <w:color w:val="02243F"/>
                <w:sz w:val="18"/>
              </w:rPr>
              <w:t>Certificações no trimestre</w:t>
            </w:r>
          </w:p>
        </w:tc>
        <w:tc>
          <w:tcPr>
            <w:tcW w:type="dxa" w:w="2351"/>
            <w:shd w:fill="E6E6E6" w:val="clear"/>
          </w:tcPr>
          <w:p>
            <w:r>
              <w:rPr>
                <w:rFonts w:ascii="Calibri" w:hAnsi="Calibri"/>
                <w:color w:val="02243F"/>
                <w:sz w:val="18"/>
              </w:rPr>
              <w:t>≥ 2</w:t>
            </w:r>
          </w:p>
        </w:tc>
        <w:tc>
          <w:tcPr>
            <w:tcW w:type="dxa" w:w="2351"/>
            <w:shd w:fill="E6E6E6" w:val="clear"/>
          </w:tcPr>
          <w:p>
            <w:r>
              <w:rPr>
                <w:rFonts w:ascii="Calibri" w:hAnsi="Calibri"/>
                <w:color w:val="02243F"/>
                <w:sz w:val="18"/>
              </w:rPr>
              <w:t>Trimestral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color w:val="02243F"/>
                <w:sz w:val="18"/>
              </w:rPr>
              <w:t>Promoções efetivadas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02243F"/>
                <w:sz w:val="18"/>
              </w:rPr>
              <w:t>Realizadas / sinalizadas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02243F"/>
                <w:sz w:val="18"/>
              </w:rPr>
              <w:t>100% pendentes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02243F"/>
                <w:sz w:val="18"/>
              </w:rPr>
              <w:t>Semestral</w:t>
            </w:r>
          </w:p>
        </w:tc>
      </w:tr>
    </w:tbl>
    <w:p/>
    <w:p>
      <w:pPr>
        <w:spacing w:before="120" w:after="120"/>
        <w:pBdr>
          <w:left w:val="single" w:sz="24" w:space="8" w:color="1FB3D7"/>
        </w:pBdr>
        <w:shd w:fill="F0F8FF" w:val="clear"/>
        <w:ind w:left="284"/>
      </w:pPr>
      <w:r>
        <w:rPr>
          <w:sz w:val="18"/>
        </w:rPr>
        <w:t xml:space="preserve">💡 </w:t>
      </w:r>
      <w:r>
        <w:rPr>
          <w:rFonts w:ascii="Calibri" w:hAnsi="Calibri"/>
          <w:i/>
          <w:color w:val="02243F"/>
          <w:sz w:val="18"/>
        </w:rPr>
        <w:t>Sugestão: Criar um dashboard interno simples (a Falqon domina dados!) para acompanhar esses indicadores em tempo real. Isso demonstra à equipe que a empresa aplica data-driven também na gestão de pessoas.</w:t>
      </w:r>
    </w:p>
    <w:p>
      <w:r>
        <w:br w:type="page"/>
      </w:r>
    </w:p>
    <w:p>
      <w:pPr>
        <w:pStyle w:val="Heading1"/>
      </w:pPr>
      <w:r>
        <w:t>Síntese Final</w:t>
      </w:r>
    </w:p>
    <w:p>
      <w:pPr>
        <w:spacing w:before="400" w:after="400"/>
        <w:jc w:val="center"/>
        <w:pBdr>
          <w:top w:val="single" w:sz="8" w:space="12" w:color="1FB3D7"/>
          <w:bottom w:val="single" w:sz="8" w:space="12" w:color="1FB3D7"/>
        </w:pBdr>
      </w:pPr>
      <w:r>
        <w:rPr>
          <w:rFonts w:ascii="Calibri" w:hAnsi="Calibri"/>
          <w:i/>
          <w:color w:val="07477D"/>
          <w:sz w:val="26"/>
        </w:rPr>
        <w:t>"A equipe não quer participar da decisão.</w:t>
        <w:br/>
        <w:t>Quer conhecer a decisão.</w:t>
        <w:br/>
        <w:t>Quer saber que existe um plano.</w:t>
        <w:br/>
        <w:t>Quer acreditar que não está sozinha."</w:t>
      </w:r>
    </w:p>
    <w:p>
      <w:pPr>
        <w:jc w:val="center"/>
      </w:pPr>
      <w:r>
        <w:rPr>
          <w:rFonts w:ascii="Calibri" w:hAnsi="Calibri"/>
          <w:color w:val="1480E2"/>
          <w:sz w:val="18"/>
        </w:rPr>
        <w:t>— Síntese das vozes ouvidas na escuta</w:t>
      </w:r>
    </w:p>
    <w:p/>
    <w:p>
      <w:pPr>
        <w:spacing w:after="120"/>
        <w:jc w:val="center"/>
      </w:pPr>
      <w:r>
        <w:rPr>
          <w:rFonts w:ascii="Calibri" w:hAnsi="Calibri"/>
          <w:b/>
          <w:color w:val="02243F"/>
          <w:sz w:val="22"/>
        </w:rPr>
        <w:t>A Falqon tem o ativo mais valioso para 2026: uma equipe que quer crescer junto.</w:t>
      </w:r>
    </w:p>
    <w:p/>
    <w:p>
      <w:pPr>
        <w:spacing w:before="120" w:after="40"/>
        <w:jc w:val="center"/>
      </w:pPr>
      <w:r>
        <w:rPr>
          <w:rFonts w:ascii="Calibri" w:hAnsi="Calibri"/>
          <w:b/>
          <w:color w:val="1480E2"/>
          <w:sz w:val="28"/>
        </w:rPr>
        <w:t>TRANSPARÊNCIA</w:t>
      </w:r>
    </w:p>
    <w:p>
      <w:pPr>
        <w:spacing w:after="160"/>
        <w:jc w:val="center"/>
      </w:pPr>
      <w:r>
        <w:rPr>
          <w:rFonts w:ascii="Calibri" w:hAnsi="Calibri"/>
          <w:color w:val="02243F"/>
          <w:sz w:val="18"/>
        </w:rPr>
        <w:t>Comunicação clara, direta e regular. Acabar com o vácuo de informação.</w:t>
      </w:r>
    </w:p>
    <w:p>
      <w:pPr>
        <w:spacing w:before="120" w:after="40"/>
        <w:jc w:val="center"/>
      </w:pPr>
      <w:r>
        <w:rPr>
          <w:rFonts w:ascii="Calibri" w:hAnsi="Calibri"/>
          <w:b/>
          <w:color w:val="1480E2"/>
          <w:sz w:val="28"/>
        </w:rPr>
        <w:t>PROXIMIDADE</w:t>
      </w:r>
    </w:p>
    <w:p>
      <w:pPr>
        <w:spacing w:after="160"/>
        <w:jc w:val="center"/>
      </w:pPr>
      <w:r>
        <w:rPr>
          <w:rFonts w:ascii="Calibri" w:hAnsi="Calibri"/>
          <w:color w:val="02243F"/>
          <w:sz w:val="18"/>
        </w:rPr>
        <w:t>Presença ativa da liderança — não física, mas relacional. Rituais, escuta, feedback.</w:t>
      </w:r>
    </w:p>
    <w:p>
      <w:pPr>
        <w:spacing w:before="120" w:after="40"/>
        <w:jc w:val="center"/>
      </w:pPr>
      <w:r>
        <w:rPr>
          <w:rFonts w:ascii="Calibri" w:hAnsi="Calibri"/>
          <w:b/>
          <w:color w:val="1480E2"/>
          <w:sz w:val="28"/>
        </w:rPr>
        <w:t>RECONHECIMENTO</w:t>
      </w:r>
    </w:p>
    <w:p>
      <w:pPr>
        <w:spacing w:after="160"/>
        <w:jc w:val="center"/>
      </w:pPr>
      <w:r>
        <w:rPr>
          <w:rFonts w:ascii="Calibri" w:hAnsi="Calibri"/>
          <w:color w:val="02243F"/>
          <w:sz w:val="18"/>
        </w:rPr>
        <w:t>Honrar promessas. Vincular entrega de valor a reconhecimento concreto.</w:t>
      </w:r>
    </w:p>
    <w:p/>
    <w:p/>
    <w:p>
      <w:pPr>
        <w:jc w:val="center"/>
      </w:pPr>
      <w:r>
        <w:rPr>
          <w:rFonts w:ascii="Calibri" w:hAnsi="Calibri"/>
          <w:color w:val="1480E2"/>
          <w:sz w:val="20"/>
        </w:rPr>
        <w:t>CIH — Consultoria Impacto Humano</w:t>
        <w:br/>
      </w:r>
      <w:r>
        <w:rPr>
          <w:rFonts w:ascii="Calibri" w:hAnsi="Calibri"/>
          <w:b/>
          <w:color w:val="07477D"/>
          <w:sz w:val="20"/>
        </w:rPr>
        <w:t>Eleine Passos</w:t>
        <w:br/>
      </w:r>
      <w:r>
        <w:rPr>
          <w:rFonts w:ascii="Calibri" w:hAnsi="Calibri"/>
          <w:color w:val="1FB3D7"/>
          <w:sz w:val="18"/>
        </w:rPr>
        <w:t>www.eleinepassos.com.br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  <w:pBdr>
        <w:top w:val="single" w:sz="4" w:space="8" w:color="07477D"/>
      </w:pBdr>
    </w:pPr>
    <w:r>
      <w:rPr>
        <w:color w:val="07477D"/>
        <w:sz w:val="16"/>
      </w:rPr>
      <w:t>Consultoria Impacto Humano | www.eleinepassos.com.br</w:t>
    </w:r>
    <w:r>
      <w:rPr>
        <w:color w:val="07477D"/>
        <w:sz w:val="16"/>
      </w:rPr>
      <w:t xml:space="preserve">  |  Página </w:t>
    </w:r>
    <w:r>
      <w:rPr>
        <w:sz w:val="16"/>
        <w:color w:val="07477D"/>
      </w:rPr>
      <w:fldChar w:fldCharType="begin"/>
    </w:r>
    <w:r>
      <w:rPr>
        <w:sz w:val="16"/>
        <w:color w:val="07477D"/>
      </w:rPr>
      <w:instrText xml:space="preserve"> PAGE </w:instrText>
    </w:r>
    <w:r>
      <w:rPr>
        <w:sz w:val="16"/>
        <w:color w:val="07477D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4" w:space="8" w:color="07477D"/>
      </w:pBdr>
    </w:pPr>
    <w:r>
      <w:drawing>
        <wp:inline xmlns:a="http://schemas.openxmlformats.org/drawingml/2006/main" xmlns:pic="http://schemas.openxmlformats.org/drawingml/2006/picture">
          <wp:extent cx="1260000" cy="35524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 CIH azu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60000" cy="355249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2243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7477D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480E2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7477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