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Calibri" w:hAnsi="Calibri" w:eastAsia="微软雅黑"/>
          <w:b/>
          <w:color w:val="1F4D78"/>
          <w:sz w:val="44"/>
        </w:rPr>
        <w:t>《数据字典表》</w:t>
      </w:r>
    </w:p>
    <w:p>
      <w:pPr>
        <w:spacing w:after="40"/>
        <w:jc w:val="center"/>
      </w:pPr>
      <w:r>
        <w:rPr>
          <w:rFonts w:ascii="Calibri" w:hAnsi="Calibri" w:eastAsia="微软雅黑"/>
          <w:b/>
          <w:color w:val="666666"/>
          <w:sz w:val="21"/>
        </w:rPr>
        <w:t>系统名称</w:t>
      </w:r>
      <w:r>
        <w:rPr>
          <w:rFonts w:ascii="Calibri" w:hAnsi="Calibri" w:eastAsia="微软雅黑"/>
          <w:b w:val="0"/>
          <w:color w:val="666666"/>
          <w:sz w:val="21"/>
        </w:rPr>
        <w:t xml:space="preserve">：“潭合同”台账管理系统　|　</w:t>
      </w:r>
      <w:r>
        <w:rPr>
          <w:rFonts w:ascii="Calibri" w:hAnsi="Calibri" w:eastAsia="微软雅黑"/>
          <w:b/>
          <w:color w:val="666666"/>
          <w:sz w:val="21"/>
        </w:rPr>
        <w:t>使用单位</w:t>
      </w:r>
      <w:r>
        <w:rPr>
          <w:rFonts w:ascii="Calibri" w:hAnsi="Calibri" w:eastAsia="微软雅黑"/>
          <w:b w:val="0"/>
          <w:color w:val="666666"/>
          <w:sz w:val="21"/>
        </w:rPr>
        <w:t>：湘潭市机关事务管理局</w:t>
      </w:r>
    </w:p>
    <w:p>
      <w:pPr>
        <w:spacing w:after="40"/>
        <w:jc w:val="center"/>
      </w:pPr>
      <w:r>
        <w:rPr>
          <w:rFonts w:ascii="Calibri" w:hAnsi="Calibri" w:eastAsia="微软雅黑"/>
          <w:b/>
          <w:color w:val="666666"/>
          <w:sz w:val="21"/>
        </w:rPr>
        <w:t>版本</w:t>
      </w:r>
      <w:r>
        <w:rPr>
          <w:rFonts w:ascii="Calibri" w:hAnsi="Calibri" w:eastAsia="微软雅黑"/>
          <w:b w:val="0"/>
          <w:color w:val="666666"/>
          <w:sz w:val="21"/>
        </w:rPr>
        <w:t xml:space="preserve">：V1.1（治理后）　|　</w:t>
      </w:r>
      <w:r>
        <w:rPr>
          <w:rFonts w:ascii="Calibri" w:hAnsi="Calibri" w:eastAsia="微软雅黑"/>
          <w:b/>
          <w:color w:val="666666"/>
          <w:sz w:val="21"/>
        </w:rPr>
        <w:t>编制日期</w:t>
      </w:r>
      <w:r>
        <w:rPr>
          <w:rFonts w:ascii="Calibri" w:hAnsi="Calibri" w:eastAsia="微软雅黑"/>
          <w:b w:val="0"/>
          <w:color w:val="666666"/>
          <w:sz w:val="21"/>
        </w:rPr>
        <w:t xml:space="preserve">：2026-08-24　|　</w:t>
      </w:r>
      <w:r>
        <w:rPr>
          <w:rFonts w:ascii="Calibri" w:hAnsi="Calibri" w:eastAsia="微软雅黑"/>
          <w:b/>
          <w:color w:val="666666"/>
          <w:sz w:val="21"/>
        </w:rPr>
        <w:t>数据规模</w:t>
      </w:r>
      <w:r>
        <w:rPr>
          <w:rFonts w:ascii="Calibri" w:hAnsi="Calibri" w:eastAsia="微软雅黑"/>
          <w:b w:val="0"/>
          <w:color w:val="666666"/>
          <w:sz w:val="21"/>
        </w:rPr>
        <w:t>：合同 639 条、用户 27 人、部门组合 13 个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本版更新：记录 A-01~A-08 数据库完整性治理完成后的字段/枚举/主数据现状。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1. 文档说明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1.1 目的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统一全系统字段、枚举、主数据的定义与取值标准，作为数据治理、清洗、打标和系统改造的依据。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消除当前数据中“同义不同写、全角半角混用、枚举自由填写、双存储漂移”等问题。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1.2 数据源现状（治理后）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项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现状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运行存储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SQLite（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data/合同台账.db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）为系统实际读写库，A-05 重建后 schema 版本 v3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确定为唯一权威数据源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交付存储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Excel（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data/合同台账.xlsx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）用于导入/导出、人工查阅（模板/导入为 29 列）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仅作导出交付物，禁止直接修改后回灌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备份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backups/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自动备份，保留 30 天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A-01~A-08 治理已完成，后续再治理前追加快照备份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双库一致性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历史上 Excel 与 SQLite 多次不一致（如部门字段）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A-03 已修复 71 条缺科室后缀部门数据，每次治理后校验两库差异并出具报告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治理状态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枚举已标准化（A-08）、部门已修复（A-03）、日期已规范化（A-05/A-06）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金额文本 245 条仍待业务确认（见 A-05/A-06 清单）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1.3 角色与权限（引用）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权限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维护用户/部门/系统配置；操作全部合同；打标治理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新增合同；编辑/删除本部门合同；设置本人负责合同提醒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查询用户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仅查询、统计、导出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2. 合同台账主表字段字典（Sheet：合同台账，29 列）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表头固定为第一行，数据从第二行开始；日期统一为文本型 </w:t>
      </w:r>
      <w:r>
        <w:rPr>
          <w:rFonts w:ascii="Consolas" w:hAnsi="Consolas" w:eastAsia="微软雅黑"/>
          <w:b w:val="0"/>
          <w:color w:val="1F4D78"/>
          <w:sz w:val="20"/>
        </w:rPr>
        <w:t>yyyy-mm-dd</w:t>
      </w:r>
      <w:r>
        <w:rPr>
          <w:rFonts w:ascii="Calibri" w:hAnsi="Calibri" w:eastAsia="微软雅黑"/>
          <w:b w:val="0"/>
          <w:color w:val="1F4D78"/>
          <w:sz w:val="21"/>
        </w:rPr>
        <w:t>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776"/>
        <w:gridCol w:w="1406"/>
        <w:gridCol w:w="776"/>
        <w:gridCol w:w="776"/>
        <w:gridCol w:w="1968"/>
        <w:gridCol w:w="1968"/>
        <w:gridCol w:w="1968"/>
      </w:tblGrid>
      <w:tr>
        <w:tc>
          <w:tcPr>
            <w:tcW w:type="dxa" w:w="7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</w:t>
            </w:r>
          </w:p>
        </w:tc>
        <w:tc>
          <w:tcPr>
            <w:tcW w:type="dxa" w:w="140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字段名</w:t>
            </w:r>
          </w:p>
        </w:tc>
        <w:tc>
          <w:tcPr>
            <w:tcW w:type="dxa" w:w="7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7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19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19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  <w:tc>
          <w:tcPr>
            <w:tcW w:type="dxa" w:w="19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现状问题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编号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唯一，示例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216101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合同唯一标识，禁止重复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无重复，正常（A-01 唯一索引兜底）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B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项目分类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服务类/维护维修类/货物类/建设项目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合同大类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A-08 清洗为标准值（服务类 338/维护维修类 109/货物类 132/建设项目 60）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C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项目名称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合同名称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 1 条：已按 A-05 回填占位值“待补充”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决策依据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采购决策依据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决策的招标控制价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文本/数字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控制价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F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招标控制价决策的依据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G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公开招标/竞争性磋商/竞争性谈判/自行采购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采购方式大类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A-08 清洗为标准值（自行采购 533/公开招标 75/竞争性磋商 14/竞争性谈判 17）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H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中标单位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中标/成交供应商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实际实施单位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实际履约主体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J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合同金额（万元）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数字，保留两位小数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合同总额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 条缺失已按 A-05 回填 0；245 条金额文本值待业务确认（见 A-05/A-06 清单）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K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资金来源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年初部门预算/年中追加预算/统筹预算/上级专项转移支付/上年结转结余/其他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合同资金预算来源，下拉选择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A-05 回填、A-08 统一为 6 个标准值；模板/导入必填，导入接口校验 9 个必填字段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合同主要内容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范围、内容、付款结算要点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 9 条：已按 A-05 回填占位值“待补充”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M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采购完成时间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N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开工时间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O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竣工验收时间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现场负责人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姓名（建议单选，不写组合）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现场甲方代表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存在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杨宏玮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杨宏伟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同音异字、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杨宏玮、蔡伟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组合写法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是否有签证或变更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当前全库为空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，待组织回填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签证或变更情况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R=是 时填写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是否结算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是/否（建议增“部分结算”）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结算状态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A-08 清洗（是 583/否 42/部分结算 1/空 13），“部分结算”待业务确认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结算金额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与已支付/未支付勾稽待核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已支付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W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未支付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X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期限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如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1年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合同期限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姓名，多人用中文顿号“、”分隔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经办人、分管领导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 3 条已按 A-05 回填（优先取兄弟合同经办人）；7 名人员不在用户表（见 5.2）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Z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备注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补充说明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AA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所属部门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主数据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格式“单位名称-科室名称”，必须存在于部门列表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合同归属，系统自动注入，不可手工改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A-03 修复（71 条缺科室后缀按关键字规则补齐，见 4.2）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AB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重新采购提醒触发日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 3 条非空，提醒功能基本未启用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AC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提醒提前天数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正整数，空则用全局默认 60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到期前预警天数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补充说明：数据库 </w:t>
      </w:r>
      <w:r>
        <w:rPr>
          <w:rFonts w:ascii="Consolas" w:hAnsi="Consolas" w:eastAsia="微软雅黑"/>
          <w:b w:val="0"/>
          <w:color w:val="1F4D78"/>
          <w:sz w:val="20"/>
        </w:rPr>
        <w:t>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实际 34 个业务列，其中模板 29 列之外还有“是否归档、归档人、归档时间”（由系统归档操作维护，不进入导入模板）与“所属单位、所属科室”（由触发器按所属部门自动派生）；导入接口对 9 个必填字段校验，数据库约束拒绝时返回友好中文提示。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3. 枚举字典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3.1 项目分类（B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3551"/>
        <w:gridCol w:w="1268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建议含义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清洗后状态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服务类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物业服务、维保服务、咨询服务等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338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维护维修类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设备/设施维护维修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109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货物类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办公设备、物资采购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建设项目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工程建设、装修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60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已标准化（A-08）；原“工程类”(56) 并入本类（待业务最终确认）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待确认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原“补充协议”(2) 已按主合同归入服务类（A-08）；“工程类”并入与否待业务确认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规则</w:t>
      </w:r>
      <w:r>
        <w:rPr>
          <w:rFonts w:ascii="Calibri" w:hAnsi="Calibri" w:eastAsia="微软雅黑"/>
          <w:b w:val="0"/>
          <w:color w:val="333333"/>
          <w:sz w:val="22"/>
        </w:rPr>
        <w:t>：新建/编辑仅允许从标准值下拉选择；存量已按 A-08 全部清洗为标准值，启用 A-05 枚举 CHECK 不会因存量非标准值失败。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3.2 采购方式（G 列）</w:t>
      </w:r>
    </w:p>
    <w:p>
      <w:r>
        <w:rPr>
          <w:rFonts w:ascii="Calibri" w:hAnsi="Calibri" w:eastAsia="微软雅黑"/>
          <w:b/>
          <w:color w:val="333333"/>
          <w:sz w:val="22"/>
        </w:rPr>
        <w:t>清洗现状（A-08）</w:t>
      </w:r>
      <w:r>
        <w:rPr>
          <w:rFonts w:ascii="Calibri" w:hAnsi="Calibri" w:eastAsia="微软雅黑"/>
          <w:b w:val="0"/>
          <w:color w:val="333333"/>
          <w:sz w:val="22"/>
        </w:rPr>
        <w:t>：存量 639 条已全部标准化为 4 个大类，无非标准值；原细分写法统一归入大类，建议在“采购方式说明”文本字段中保留。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清洗后状态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自行采购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533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公开招标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75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竞争性磋商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14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竞争性谈判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17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待业务确认项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框架协议采购</w:t>
      </w:r>
      <w:r>
        <w:rPr>
          <w:rFonts w:ascii="Calibri" w:hAnsi="Calibri" w:eastAsia="微软雅黑"/>
          <w:b w:val="0"/>
          <w:color w:val="333333"/>
          <w:sz w:val="22"/>
        </w:rPr>
        <w:t>(8)、</w:t>
      </w:r>
      <w:r>
        <w:rPr>
          <w:rFonts w:ascii="Consolas" w:hAnsi="Consolas" w:eastAsia="微软雅黑"/>
          <w:b w:val="0"/>
          <w:color w:val="333333"/>
          <w:sz w:val="21"/>
        </w:rPr>
        <w:t>补充协议</w:t>
      </w:r>
      <w:r>
        <w:rPr>
          <w:rFonts w:ascii="Calibri" w:hAnsi="Calibri" w:eastAsia="微软雅黑"/>
          <w:b w:val="0"/>
          <w:color w:val="333333"/>
          <w:sz w:val="22"/>
        </w:rPr>
        <w:t>(4)、</w:t>
      </w:r>
      <w:r>
        <w:rPr>
          <w:rFonts w:ascii="Consolas" w:hAnsi="Consolas" w:eastAsia="微软雅黑"/>
          <w:b w:val="0"/>
          <w:color w:val="333333"/>
          <w:sz w:val="21"/>
        </w:rPr>
        <w:t>单一来源采购</w:t>
      </w:r>
      <w:r>
        <w:rPr>
          <w:rFonts w:ascii="Calibri" w:hAnsi="Calibri" w:eastAsia="微软雅黑"/>
          <w:b w:val="0"/>
          <w:color w:val="333333"/>
          <w:sz w:val="22"/>
        </w:rPr>
        <w:t>(1)、</w:t>
      </w:r>
      <w:r>
        <w:rPr>
          <w:rFonts w:ascii="Consolas" w:hAnsi="Consolas" w:eastAsia="微软雅黑"/>
          <w:b w:val="0"/>
          <w:color w:val="333333"/>
          <w:sz w:val="21"/>
        </w:rPr>
        <w:t>原合同《市委、市人大、市政府、市政协办公楼中央空调系统委托管理合同》</w:t>
      </w:r>
      <w:r>
        <w:rPr>
          <w:rFonts w:ascii="Calibri" w:hAnsi="Calibri" w:eastAsia="微软雅黑"/>
          <w:b w:val="0"/>
          <w:color w:val="333333"/>
          <w:sz w:val="22"/>
        </w:rPr>
        <w:t>(4)、</w:t>
      </w:r>
      <w:r>
        <w:rPr>
          <w:rFonts w:ascii="Consolas" w:hAnsi="Consolas" w:eastAsia="微软雅黑"/>
          <w:b w:val="0"/>
          <w:color w:val="333333"/>
          <w:sz w:val="21"/>
        </w:rPr>
        <w:t>邀请招标</w:t>
      </w:r>
      <w:r>
        <w:rPr>
          <w:rFonts w:ascii="Calibri" w:hAnsi="Calibri" w:eastAsia="微软雅黑"/>
          <w:b w:val="0"/>
          <w:color w:val="333333"/>
          <w:sz w:val="22"/>
        </w:rPr>
        <w:t>(2)、</w:t>
      </w:r>
      <w:r>
        <w:rPr>
          <w:rFonts w:ascii="Consolas" w:hAnsi="Consolas" w:eastAsia="微软雅黑"/>
          <w:b w:val="0"/>
          <w:color w:val="333333"/>
          <w:sz w:val="21"/>
        </w:rPr>
        <w:t>邀请招标（联合体投标）</w:t>
      </w:r>
      <w:r>
        <w:rPr>
          <w:rFonts w:ascii="Calibri" w:hAnsi="Calibri" w:eastAsia="微软雅黑"/>
          <w:b w:val="0"/>
          <w:color w:val="333333"/>
          <w:sz w:val="22"/>
        </w:rPr>
        <w:t>(3) 归入大类为建议值，当前已按建议值处理，需业务最终确认。</w:t>
      </w:r>
    </w:p>
    <w:p>
      <w:r>
        <w:rPr>
          <w:rFonts w:ascii="Calibri" w:hAnsi="Calibri" w:eastAsia="微软雅黑"/>
          <w:b/>
          <w:color w:val="333333"/>
          <w:sz w:val="22"/>
        </w:rPr>
        <w:t>建议结构</w:t>
      </w:r>
      <w:r>
        <w:rPr>
          <w:rFonts w:ascii="Calibri" w:hAnsi="Calibri" w:eastAsia="微软雅黑"/>
          <w:b w:val="0"/>
          <w:color w:val="333333"/>
          <w:sz w:val="22"/>
        </w:rPr>
        <w:t xml:space="preserve">：大类（4 项，下拉强制选择）＋ “采购方式说明”文本字段（保留原细分描述），即 </w:t>
      </w:r>
      <w:r>
        <w:rPr>
          <w:rFonts w:ascii="Consolas" w:hAnsi="Consolas" w:eastAsia="微软雅黑"/>
          <w:b w:val="0"/>
          <w:color w:val="333333"/>
          <w:sz w:val="21"/>
        </w:rPr>
        <w:t>自行采购（电子卖场）</w:t>
      </w:r>
      <w:r>
        <w:rPr>
          <w:rFonts w:ascii="Calibri" w:hAnsi="Calibri" w:eastAsia="微软雅黑"/>
          <w:b w:val="0"/>
          <w:color w:val="333333"/>
          <w:sz w:val="22"/>
        </w:rPr>
        <w:t xml:space="preserve"> → 大类=</w:t>
      </w:r>
      <w:r>
        <w:rPr>
          <w:rFonts w:ascii="Consolas" w:hAnsi="Consolas" w:eastAsia="微软雅黑"/>
          <w:b w:val="0"/>
          <w:color w:val="333333"/>
          <w:sz w:val="21"/>
        </w:rPr>
        <w:t>自行采购</w:t>
      </w:r>
      <w:r>
        <w:rPr>
          <w:rFonts w:ascii="Calibri" w:hAnsi="Calibri" w:eastAsia="微软雅黑"/>
          <w:b w:val="0"/>
          <w:color w:val="333333"/>
          <w:sz w:val="22"/>
        </w:rPr>
        <w:t>，说明=</w:t>
      </w:r>
      <w:r>
        <w:rPr>
          <w:rFonts w:ascii="Consolas" w:hAnsi="Consolas" w:eastAsia="微软雅黑"/>
          <w:b w:val="0"/>
          <w:color w:val="333333"/>
          <w:sz w:val="21"/>
        </w:rPr>
        <w:t>电子卖场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r>
        <w:rPr>
          <w:rFonts w:ascii="Calibri" w:hAnsi="Calibri" w:eastAsia="微软雅黑"/>
          <w:b/>
          <w:color w:val="333333"/>
          <w:sz w:val="22"/>
        </w:rPr>
        <w:t>规则</w:t>
      </w:r>
      <w:r>
        <w:rPr>
          <w:rFonts w:ascii="Calibri" w:hAnsi="Calibri" w:eastAsia="微软雅黑"/>
          <w:b w:val="0"/>
          <w:color w:val="333333"/>
          <w:sz w:val="22"/>
        </w:rPr>
        <w:t>：新建/编辑仅允许 4 大类下拉；全角/半角括号统一为全角，禁止混用。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3.3 是否结算（T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583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已结算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42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未结算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部分结算（建议新增）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A-08 保留为标准值，待业务确认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保留为空，待业务回填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清洗情况（A-08）</w:t>
      </w:r>
      <w:r>
        <w:rPr>
          <w:rFonts w:ascii="Calibri" w:hAnsi="Calibri" w:eastAsia="微软雅黑"/>
          <w:b w:val="0"/>
          <w:color w:val="333333"/>
          <w:sz w:val="22"/>
        </w:rPr>
        <w:t>：原 12 条非标准值已处理——</w:t>
      </w:r>
      <w:r>
        <w:rPr>
          <w:rFonts w:ascii="Consolas" w:hAnsi="Consolas" w:eastAsia="微软雅黑"/>
          <w:b w:val="0"/>
          <w:color w:val="333333"/>
          <w:sz w:val="21"/>
        </w:rPr>
        <w:t>按季度结算</w:t>
      </w:r>
      <w:r>
        <w:rPr>
          <w:rFonts w:ascii="Calibri" w:hAnsi="Calibri" w:eastAsia="微软雅黑"/>
          <w:b w:val="0"/>
          <w:color w:val="333333"/>
          <w:sz w:val="22"/>
        </w:rPr>
        <w:t>(3)、</w:t>
      </w:r>
      <w:r>
        <w:rPr>
          <w:rFonts w:ascii="Consolas" w:hAnsi="Consolas" w:eastAsia="微软雅黑"/>
          <w:b w:val="0"/>
          <w:color w:val="333333"/>
          <w:sz w:val="21"/>
        </w:rPr>
        <w:t>按月结算</w:t>
      </w:r>
      <w:r>
        <w:rPr>
          <w:rFonts w:ascii="Calibri" w:hAnsi="Calibri" w:eastAsia="微软雅黑"/>
          <w:b w:val="0"/>
          <w:color w:val="333333"/>
          <w:sz w:val="22"/>
        </w:rPr>
        <w:t>(2)、</w:t>
      </w:r>
      <w:r>
        <w:rPr>
          <w:rFonts w:ascii="Consolas" w:hAnsi="Consolas" w:eastAsia="微软雅黑"/>
          <w:b w:val="0"/>
          <w:color w:val="333333"/>
          <w:sz w:val="21"/>
        </w:rPr>
        <w:t>按年度结算</w:t>
      </w:r>
      <w:r>
        <w:rPr>
          <w:rFonts w:ascii="Calibri" w:hAnsi="Calibri" w:eastAsia="微软雅黑"/>
          <w:b w:val="0"/>
          <w:color w:val="333333"/>
          <w:sz w:val="22"/>
        </w:rPr>
        <w:t>(2) 判“是”；</w:t>
      </w:r>
      <w:r>
        <w:rPr>
          <w:rFonts w:ascii="Consolas" w:hAnsi="Consolas" w:eastAsia="微软雅黑"/>
          <w:b w:val="0"/>
          <w:color w:val="333333"/>
          <w:sz w:val="21"/>
        </w:rPr>
        <w:t>按月支付</w:t>
      </w:r>
      <w:r>
        <w:rPr>
          <w:rFonts w:ascii="Calibri" w:hAnsi="Calibri" w:eastAsia="微软雅黑"/>
          <w:b w:val="0"/>
          <w:color w:val="333333"/>
          <w:sz w:val="22"/>
        </w:rPr>
        <w:t>(1)、</w:t>
      </w:r>
      <w:r>
        <w:rPr>
          <w:rFonts w:ascii="Consolas" w:hAnsi="Consolas" w:eastAsia="微软雅黑"/>
          <w:b w:val="0"/>
          <w:color w:val="333333"/>
          <w:sz w:val="21"/>
        </w:rPr>
        <w:t>由具体实施的单项项目结算</w:t>
      </w:r>
      <w:r>
        <w:rPr>
          <w:rFonts w:ascii="Calibri" w:hAnsi="Calibri" w:eastAsia="微软雅黑"/>
          <w:b w:val="0"/>
          <w:color w:val="333333"/>
          <w:sz w:val="22"/>
        </w:rPr>
        <w:t>(1) 判“否”（建议值，待业务确认）；</w:t>
      </w:r>
      <w:r>
        <w:rPr>
          <w:rFonts w:ascii="Consolas" w:hAnsi="Consolas" w:eastAsia="微软雅黑"/>
          <w:b w:val="0"/>
          <w:color w:val="333333"/>
          <w:sz w:val="21"/>
        </w:rPr>
        <w:t>/</w:t>
      </w:r>
      <w:r>
        <w:rPr>
          <w:rFonts w:ascii="Calibri" w:hAnsi="Calibri" w:eastAsia="微软雅黑"/>
          <w:b w:val="0"/>
          <w:color w:val="333333"/>
          <w:sz w:val="22"/>
        </w:rPr>
        <w:t xml:space="preserve">(2) 置空；原值追加到 Z 备注保留审计痕迹。T 列统一为 </w:t>
      </w:r>
      <w:r>
        <w:rPr>
          <w:rFonts w:ascii="Consolas" w:hAnsi="Consolas" w:eastAsia="微软雅黑"/>
          <w:b w:val="0"/>
          <w:color w:val="333333"/>
          <w:sz w:val="21"/>
        </w:rPr>
        <w:t>是/否/部分结算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3.4 是否有签证或变更（R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当前全库为空，需结合 P/S 列回填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639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治理任务：组织逐条回填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3.5 资金来源（K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年初部门预算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部门年初安排的预算资金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年中追加预算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年中追加安排的预算资金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统筹预算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统筹安排的预算资金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上级专项转移支付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上级安排的专项转移支付资金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上年结转结余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上年结转结余资金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其他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其他来源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规则</w:t>
      </w:r>
      <w:r>
        <w:rPr>
          <w:rFonts w:ascii="Calibri" w:hAnsi="Calibri" w:eastAsia="微软雅黑"/>
          <w:b w:val="0"/>
          <w:color w:val="333333"/>
          <w:sz w:val="22"/>
        </w:rPr>
        <w:t>：模板/导入必填（K 列为 9 个必填字段之一）；新建/编辑仅允许从上述 6 项下拉选择；存量已按 A-05 回填、A-08 统一为标准值。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4. 部门主数据（Sheet：部门列表）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4.1 部门组合（13 个组合，当前实况，A-02 后为复合主键唯一约束）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单位名称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科室名称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当前合同数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办公室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29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财务科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人事与政策法规科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局领导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资产科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综合组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29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公车管理组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137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物业管理组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229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工程建设组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128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后勤管理组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85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主任班子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市民之家专班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周转住房专班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4.2 已修复（71 条，A-03）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原“所属部门 = 湘潭市机关事务管理局后勤中心”（缺科室后缀）的 71 条合同，已按 A-03 关键字规则补齐科室后缀（物业管理组 47、公车管理组 11、工程建设组 11、市民之家专班 1、周转住房专班 1），并纳入 departments 复合主键与外键约束校验；逐条清单见 </w:t>
      </w:r>
      <w:r>
        <w:rPr>
          <w:rFonts w:ascii="Consolas" w:hAnsi="Consolas" w:eastAsia="微软雅黑"/>
          <w:b w:val="0"/>
          <w:color w:val="333333"/>
          <w:sz w:val="21"/>
        </w:rPr>
        <w:t>A-03-部门数据修复清单.md</w:t>
      </w:r>
      <w:r>
        <w:rPr>
          <w:rFonts w:ascii="Calibri" w:hAnsi="Calibri" w:eastAsia="微软雅黑"/>
          <w:b w:val="0"/>
          <w:color w:val="333333"/>
          <w:sz w:val="22"/>
        </w:rPr>
        <w:t>，如业务认为归属不当，按清单修改该合同“所属部门”即可。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原冗余组合 </w:t>
      </w:r>
      <w:r>
        <w:rPr>
          <w:rFonts w:ascii="Consolas" w:hAnsi="Consolas" w:eastAsia="微软雅黑"/>
          <w:b w:val="0"/>
          <w:color w:val="1F4D78"/>
          <w:sz w:val="20"/>
        </w:rPr>
        <w:t>后勤中心-后勤中心</w:t>
      </w:r>
      <w:r>
        <w:rPr>
          <w:rFonts w:ascii="Calibri" w:hAnsi="Calibri" w:eastAsia="微软雅黑"/>
          <w:b w:val="0"/>
          <w:color w:val="1F4D78"/>
          <w:sz w:val="21"/>
        </w:rPr>
        <w:t xml:space="preserve"> 已在治理中删除，当前为 13 个组合（含 2026-08 新增“湘潭市机关事务管理局本级-资产科”）。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4.3 校验规则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合同 AA 列、用户“所属部门”必须等于“单位名称-科室名称”组合（A-03 起由外键约束 + 同步触发器兜底）；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删除部门前校验无用户、无合同关联。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5. 人员主数据（Sheet：用户表）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5.1 用户字典（27 人）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662"/>
        <w:gridCol w:w="1662"/>
        <w:gridCol w:w="1662"/>
        <w:gridCol w:w="4652"/>
      </w:tblGrid>
      <w:tr>
        <w:tc>
          <w:tcPr>
            <w:tcW w:type="dxa" w:w="166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姓名</w:t>
            </w:r>
          </w:p>
        </w:tc>
        <w:tc>
          <w:tcPr>
            <w:tcW w:type="dxa" w:w="166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用户名</w:t>
            </w:r>
          </w:p>
        </w:tc>
        <w:tc>
          <w:tcPr>
            <w:tcW w:type="dxa" w:w="166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465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所属部门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系统管理员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admin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湘潭市机关事务管理局本级-办公室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成思远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成思远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湘潭市机关事务管理局本级-局领导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杨依儒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杨依儒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湘潭市机关事务管理局本级-局领导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陈爱民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陈爱民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陈飞舟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陈飞舟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湘潭市机关事务管理局本级-局领导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廖笛纯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廖笛纯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湘潭市机关事务管理局后勤中心-综合组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彭思婕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彭思婕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湘潭市机关事务管理局后勤中心-综合组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文晨光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文晨光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湘潭市机关事务管理局后勤中心-公车管理组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谢湘华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谢湘华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湘潭市机关事务管理局后勤中心-公车管理组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吴慧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吴慧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湘潭市机关事务管理局后勤中心-公车管理组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朱博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朱博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湘潭市机关事务管理局后勤中心-工程建设组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索前锋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索前锋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湘潭市机关事务管理局后勤中心-工程建设组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欧阳源涵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欧阳源涵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湘潭市机关事务管理局后勤中心-后勤管理组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黄双萍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黄双萍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湘潭市机关事务管理局后勤中心-后勤管理组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黄天宇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黄天宇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杨惠风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杨惠风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罗响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罗响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蔡伟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蔡伟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杨宏伟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杨宏伟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刘雅昳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刘雅昳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湘潭市机关事务管理局后勤中心-后勤管理组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刘勇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刘勇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章伟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章伟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谢玮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谢玮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李霞辉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李霞辉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湘潭市机关事务管理局本级-财务科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罗洪波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罗洪波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湘潭市机关事务管理局本级-办公室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肖瑶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肖瑶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湘潭市机关事务管理局本级-办公室</w:t>
            </w:r>
          </w:p>
        </w:tc>
      </w:tr>
      <w:tr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郭利君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郭利君</w:t>
            </w:r>
          </w:p>
        </w:tc>
        <w:tc>
          <w:tcPr>
            <w:tcW w:type="dxa" w:w="166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465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湘潭市机关事务管理局本级-人事与政策法规科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5.2 合同中出现但不在用户表的人员（需补录或确认）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483"/>
        <w:gridCol w:w="2521"/>
        <w:gridCol w:w="1483"/>
        <w:gridCol w:w="4151"/>
      </w:tblGrid>
      <w:tr>
        <w:tc>
          <w:tcPr>
            <w:tcW w:type="dxa" w:w="148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姓名</w:t>
            </w:r>
          </w:p>
        </w:tc>
        <w:tc>
          <w:tcPr>
            <w:tcW w:type="dxa" w:w="252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出现位置</w:t>
            </w:r>
          </w:p>
        </w:tc>
        <w:tc>
          <w:tcPr>
            <w:tcW w:type="dxa" w:w="148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次数</w:t>
            </w:r>
          </w:p>
        </w:tc>
        <w:tc>
          <w:tcPr>
            <w:tcW w:type="dxa" w:w="41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</w:t>
            </w:r>
          </w:p>
        </w:tc>
      </w:tr>
      <w:tr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滕婷</w:t>
            </w:r>
          </w:p>
        </w:tc>
        <w:tc>
          <w:tcPr>
            <w:tcW w:type="dxa" w:w="252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经办人/现场负责人</w:t>
            </w:r>
          </w:p>
        </w:tc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3/59</w:t>
            </w:r>
          </w:p>
        </w:tc>
        <w:tc>
          <w:tcPr>
            <w:tcW w:type="dxa" w:w="41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刘聚丰</w:t>
            </w:r>
          </w:p>
        </w:tc>
        <w:tc>
          <w:tcPr>
            <w:tcW w:type="dxa" w:w="252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14</w:t>
            </w:r>
          </w:p>
        </w:tc>
        <w:tc>
          <w:tcPr>
            <w:tcW w:type="dxa" w:w="41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曾明锋</w:t>
            </w:r>
          </w:p>
        </w:tc>
        <w:tc>
          <w:tcPr>
            <w:tcW w:type="dxa" w:w="252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8</w:t>
            </w:r>
          </w:p>
        </w:tc>
        <w:tc>
          <w:tcPr>
            <w:tcW w:type="dxa" w:w="41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李理</w:t>
            </w:r>
          </w:p>
        </w:tc>
        <w:tc>
          <w:tcPr>
            <w:tcW w:type="dxa" w:w="252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经办人/现场负责人</w:t>
            </w:r>
          </w:p>
        </w:tc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6/6</w:t>
            </w:r>
          </w:p>
        </w:tc>
        <w:tc>
          <w:tcPr>
            <w:tcW w:type="dxa" w:w="41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曾富华</w:t>
            </w:r>
          </w:p>
        </w:tc>
        <w:tc>
          <w:tcPr>
            <w:tcW w:type="dxa" w:w="252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</w:t>
            </w:r>
          </w:p>
        </w:tc>
        <w:tc>
          <w:tcPr>
            <w:tcW w:type="dxa" w:w="41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廖朝媛</w:t>
            </w:r>
          </w:p>
        </w:tc>
        <w:tc>
          <w:tcPr>
            <w:tcW w:type="dxa" w:w="252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现场负责人</w:t>
            </w:r>
          </w:p>
        </w:tc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75</w:t>
            </w:r>
          </w:p>
        </w:tc>
        <w:tc>
          <w:tcPr>
            <w:tcW w:type="dxa" w:w="41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补录或确认为外部人员</w:t>
            </w:r>
          </w:p>
        </w:tc>
      </w:tr>
      <w:tr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杨宏玮</w:t>
            </w:r>
          </w:p>
        </w:tc>
        <w:tc>
          <w:tcPr>
            <w:tcW w:type="dxa" w:w="252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现场负责人</w:t>
            </w:r>
          </w:p>
        </w:tc>
        <w:tc>
          <w:tcPr>
            <w:tcW w:type="dxa" w:w="148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5+2</w:t>
            </w:r>
          </w:p>
        </w:tc>
        <w:tc>
          <w:tcPr>
            <w:tcW w:type="dxa" w:w="41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疑似与“杨宏伟”同音异字，统一为“杨宏伟”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5.3 人员字段规范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Y 列“经办人”：姓名与姓名之间用中文顿号“、”，禁止用 </w:t>
      </w:r>
      <w:r>
        <w:rPr>
          <w:rFonts w:ascii="Consolas" w:hAnsi="Consolas" w:eastAsia="微软雅黑"/>
          <w:b w:val="0"/>
          <w:color w:val="333333"/>
          <w:sz w:val="21"/>
        </w:rPr>
        <w:t>/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,</w:t>
      </w:r>
      <w:r>
        <w:rPr>
          <w:rFonts w:ascii="Calibri" w:hAnsi="Calibri" w:eastAsia="微软雅黑"/>
          <w:b w:val="0"/>
          <w:color w:val="333333"/>
          <w:sz w:val="22"/>
        </w:rPr>
        <w:t xml:space="preserve"> 混写；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Q 列“现场负责人”：建议单人名，禁止组合写法（如 </w:t>
      </w:r>
      <w:r>
        <w:rPr>
          <w:rFonts w:ascii="Consolas" w:hAnsi="Consolas" w:eastAsia="微软雅黑"/>
          <w:b w:val="0"/>
          <w:color w:val="333333"/>
          <w:sz w:val="21"/>
        </w:rPr>
        <w:t>杨宏玮、蔡伟</w:t>
      </w:r>
      <w:r>
        <w:rPr>
          <w:rFonts w:ascii="Calibri" w:hAnsi="Calibri" w:eastAsia="微软雅黑"/>
          <w:b w:val="0"/>
          <w:color w:val="333333"/>
          <w:sz w:val="22"/>
        </w:rPr>
        <w:t>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6. 标签体系（数据打标）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6.1 实现方案（建议）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轻量方案：</w:t>
      </w:r>
      <w:r>
        <w:rPr>
          <w:rFonts w:ascii="Consolas" w:hAnsi="Consolas" w:eastAsia="微软雅黑"/>
          <w:b w:val="0"/>
          <w:color w:val="333333"/>
          <w:sz w:val="21"/>
        </w:rPr>
        <w:t>contracts</w:t>
      </w:r>
      <w:r>
        <w:rPr>
          <w:rFonts w:ascii="Calibri" w:hAnsi="Calibri" w:eastAsia="微软雅黑"/>
          <w:b w:val="0"/>
          <w:color w:val="333333"/>
          <w:sz w:val="22"/>
        </w:rPr>
        <w:t xml:space="preserve"> 表新增 </w:t>
      </w:r>
      <w:r>
        <w:rPr>
          <w:rFonts w:ascii="Consolas" w:hAnsi="Consolas" w:eastAsia="微软雅黑"/>
          <w:b w:val="0"/>
          <w:color w:val="333333"/>
          <w:sz w:val="21"/>
        </w:rPr>
        <w:t>标签</w:t>
      </w:r>
      <w:r>
        <w:rPr>
          <w:rFonts w:ascii="Calibri" w:hAnsi="Calibri" w:eastAsia="微软雅黑"/>
          <w:b w:val="0"/>
          <w:color w:val="333333"/>
          <w:sz w:val="22"/>
        </w:rPr>
        <w:t xml:space="preserve"> 文本列，逗号分隔（便于 Excel 查阅）；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规范方案：新增 </w:t>
      </w:r>
      <w:r>
        <w:rPr>
          <w:rFonts w:ascii="Consolas" w:hAnsi="Consolas" w:eastAsia="微软雅黑"/>
          <w:b w:val="0"/>
          <w:color w:val="333333"/>
          <w:sz w:val="21"/>
        </w:rPr>
        <w:t>tags</w:t>
      </w:r>
      <w:r>
        <w:rPr>
          <w:rFonts w:ascii="Calibri" w:hAnsi="Calibri" w:eastAsia="微软雅黑"/>
          <w:b w:val="0"/>
          <w:color w:val="333333"/>
          <w:sz w:val="22"/>
        </w:rPr>
        <w:t xml:space="preserve"> 表（合同编号、标签名、打标人、打标时间、标签类型），支持审计与多标签；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推荐：先按轻量方案落地，同时用“质量标签”自动生成，业务标签人工维护。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6.2 标签字典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34"/>
        <w:gridCol w:w="1361"/>
        <w:gridCol w:w="2835"/>
        <w:gridCol w:w="3175"/>
        <w:gridCol w:w="1133"/>
      </w:tblGrid>
      <w:tr>
        <w:tc>
          <w:tcPr>
            <w:tcW w:type="dxa" w:w="113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标签组</w:t>
            </w:r>
          </w:p>
        </w:tc>
        <w:tc>
          <w:tcPr>
            <w:tcW w:type="dxa" w:w="136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标签名</w:t>
            </w:r>
          </w:p>
        </w:tc>
        <w:tc>
          <w:tcPr>
            <w:tcW w:type="dxa" w:w="283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</w:t>
            </w:r>
          </w:p>
        </w:tc>
        <w:tc>
          <w:tcPr>
            <w:tcW w:type="dxa" w:w="3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含义</w:t>
            </w:r>
          </w:p>
        </w:tc>
        <w:tc>
          <w:tcPr>
            <w:tcW w:type="dxa" w:w="113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打标方式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业务属性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延续性项目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每年或定期需重新采购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人工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业务属性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重点合同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金额大、影响面广，需重点跟踪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人工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业务属性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金额等级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≥100万 / 50-100万 / &lt;50万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按合同金额自动分级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进行中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未完工未结算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已完工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完工时间非空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已结算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是否结算=是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已验收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竣工验收时间非空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超期未验收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完工超期仍无验收时间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临近招采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距下次招采 ≤ 提醒天数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已过期未招采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下次招采时间已过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无中标单位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中标单位为空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金额为0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合同金额为 0 或空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结算异常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已支付+未支付≠结算金额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缺必填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字段名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必填字段为空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格式异常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字段名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日期/金额/枚举不合规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人名不一致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与用户主数据不符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待人工复核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自动规则无法判定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6.3 打标顺序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自动质量标签（数据清洗完成后重跑）；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自动业务/风险标签；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人工业务标签（延续性项目、重点合同）——建议先标注“延续性项目”，直接服务重新采购提醒。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7. 系统配置字典（Sheet：系统配置）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733"/>
        <w:gridCol w:w="1439"/>
        <w:gridCol w:w="1439"/>
        <w:gridCol w:w="4027"/>
      </w:tblGrid>
      <w:tr>
        <w:tc>
          <w:tcPr>
            <w:tcW w:type="dxa" w:w="273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配置项</w:t>
            </w:r>
          </w:p>
        </w:tc>
        <w:tc>
          <w:tcPr>
            <w:tcW w:type="dxa" w:w="1439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1439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当前值</w:t>
            </w:r>
          </w:p>
        </w:tc>
        <w:tc>
          <w:tcPr>
            <w:tcW w:type="dxa" w:w="402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7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default_remind_days</w:t>
            </w:r>
          </w:p>
        </w:tc>
        <w:tc>
          <w:tcPr>
            <w:tcW w:type="dxa" w:w="143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143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60</w:t>
            </w:r>
          </w:p>
        </w:tc>
        <w:tc>
          <w:tcPr>
            <w:tcW w:type="dxa" w:w="402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全局默认提醒提前天数，管理员可改，即时生效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8. 数据质量校验规则（已落地为数据库约束/脚本/接口校验）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3551"/>
        <w:gridCol w:w="1268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编号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规则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级别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处理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编号非空且唯一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已落地：A-01 唯一索引兜底 + 新增/编辑校验，重复拒绝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项目分类 ∈ 标准枚举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已落地：A-08 存量已标准化；表单下拉 + 后端校验（A-05 枚举 CHECK 延后未启用）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Q3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 ∈ 标准枚举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已落地：A-08 存量已标准化；表单下拉 + 后端校验（A-05 枚举 CHECK 延后未启用）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Q4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是否结算 ∈ 是/否/部分结算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已落地：A-08 存量已清洗（“部分结算”待业务确认后调整 CHECK）；表单下拉 + 后端校验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Q5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日期字段格式 yyyy-mm-dd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已落地：A-05 日期 CHECK 启用、A-06 存量已规范化为 YYYY-MM-DD；前端 date 控件 + 后端校验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Q6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金额字段为数字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已落地：A-05 金额 CHECK 启用；245 条金额文本值待业务确认后回填，后端转数值，非法报错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Q7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所属部门 ∈ 部门列表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已落地：A-03 外键约束 + PRAGMA foreign_keys=ON + 同步触发器兜底；后端校验，自动注入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Q8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经办人姓名 ∈ 用户主数据（或白名单）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未落地为强校验：提示但不强制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Q9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已支付+未支付=结算金额（容差 0.01）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月审计报告提示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Q10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结算金额 ≤ 合同金额（容差 1%）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月审计报告提示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Q11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 ≥ 当前日期时正常预警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提醒逻辑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是否有签证或变更 ∈ 是/否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回填后启用下拉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9. 实施路线（建议顺序）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45"/>
        <w:gridCol w:w="2672"/>
        <w:gridCol w:w="1718"/>
        <w:gridCol w:w="1431"/>
        <w:gridCol w:w="2672"/>
      </w:tblGrid>
      <w:tr>
        <w:tc>
          <w:tcPr>
            <w:tcW w:type="dxa" w:w="11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267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内容</w:t>
            </w:r>
          </w:p>
        </w:tc>
        <w:tc>
          <w:tcPr>
            <w:tcW w:type="dxa" w:w="171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输出</w:t>
            </w:r>
          </w:p>
        </w:tc>
        <w:tc>
          <w:tcPr>
            <w:tcW w:type="dxa" w:w="143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责任人</w:t>
            </w:r>
          </w:p>
        </w:tc>
        <w:tc>
          <w:tcPr>
            <w:tcW w:type="dxa" w:w="267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状态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 标准冻结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本字典经业务确认（3.1/3.2/3.3 的待确认项）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定稿版数据字典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管理员+业务科室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待业务最终确认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 低风险清洗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枚举映射（可自动部分）、日期规范化、经办人回填、金额转数值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清洗脚本+差异报告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管理员（脚本）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已完成（A-05/A-06/A-08）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 人工复核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 245 条文本值逐条确认（部门/分类/采购方式已按 A-03/A-08 完成）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待确认清单逐条确认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业务科室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部分完成（金额 245 条待确认）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 双库同步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SQLite=权威，Excel 重新导出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一致性校验报告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待办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 打标落地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标签列/表 + 自动标签 + 前端展示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标签功能上线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开发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待办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 机制固化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表单下拉字典、后端强校验、月审计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审计报告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待办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 w:val="0"/>
          <w:i/>
          <w:color w:val="333333"/>
          <w:sz w:val="22"/>
        </w:rPr>
        <w:t>本表为治理基线文档（V1.1，治理后），随业务确认与后续治理进度继续迭代版本（V1.2…）。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666666"/>
        <w:sz w:val="18"/>
      </w:rPr>
      <w:t xml:space="preserve">第 </w:t>
    </w:r>
    <w:r>
      <w:rPr>
        <w:rFonts w:ascii="Calibri" w:hAnsi="Calibri" w:eastAsia="微软雅黑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7"/>
      </w:rPr>
      <w:t>“潭合同”台账管理系统 · 数据字典表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《数据字典表》</dc:title>
  <dc:subject/>
  <dc:creator>湘潭市机关事务管理局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