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《数据字典表》</w:t>
      </w:r>
    </w:p>
    <w:p>
      <w:pPr>
        <w:spacing w:after="40"/>
        <w:jc w:val="center"/>
      </w:pPr>
      <w:r>
        <w:rPr>
          <w:rFonts w:ascii="Calibri" w:hAnsi="Calibri" w:eastAsia="微软雅黑"/>
          <w:b/>
          <w:color w:val="666666"/>
          <w:sz w:val="21"/>
        </w:rPr>
        <w:t>系统名称</w:t>
      </w:r>
      <w:r>
        <w:rPr>
          <w:rFonts w:ascii="Calibri" w:hAnsi="Calibri" w:eastAsia="微软雅黑"/>
          <w:b w:val="0"/>
          <w:color w:val="666666"/>
          <w:sz w:val="21"/>
        </w:rPr>
        <w:t xml:space="preserve">：“潭合同”台账管理系统　|　</w:t>
      </w:r>
      <w:r>
        <w:rPr>
          <w:rFonts w:ascii="Calibri" w:hAnsi="Calibri" w:eastAsia="微软雅黑"/>
          <w:b/>
          <w:color w:val="666666"/>
          <w:sz w:val="21"/>
        </w:rPr>
        <w:t>使用单位</w:t>
      </w:r>
      <w:r>
        <w:rPr>
          <w:rFonts w:ascii="Calibri" w:hAnsi="Calibri" w:eastAsia="微软雅黑"/>
          <w:b w:val="0"/>
          <w:color w:val="666666"/>
          <w:sz w:val="21"/>
        </w:rPr>
        <w:t>：湘潭市机关事务管理局</w:t>
      </w:r>
    </w:p>
    <w:p>
      <w:pPr>
        <w:spacing w:after="40"/>
        <w:jc w:val="center"/>
      </w:pPr>
      <w:r>
        <w:rPr>
          <w:rFonts w:ascii="Calibri" w:hAnsi="Calibri" w:eastAsia="微软雅黑"/>
          <w:b/>
          <w:color w:val="666666"/>
          <w:sz w:val="21"/>
        </w:rPr>
        <w:t>版本</w:t>
      </w:r>
      <w:r>
        <w:rPr>
          <w:rFonts w:ascii="Calibri" w:hAnsi="Calibri" w:eastAsia="微软雅黑"/>
          <w:b w:val="0"/>
          <w:color w:val="666666"/>
          <w:sz w:val="21"/>
        </w:rPr>
        <w:t xml:space="preserve">：V1.0（初稿）　|　</w:t>
      </w:r>
      <w:r>
        <w:rPr>
          <w:rFonts w:ascii="Calibri" w:hAnsi="Calibri" w:eastAsia="微软雅黑"/>
          <w:b/>
          <w:color w:val="666666"/>
          <w:sz w:val="21"/>
        </w:rPr>
        <w:t>编制日期</w:t>
      </w:r>
      <w:r>
        <w:rPr>
          <w:rFonts w:ascii="Calibri" w:hAnsi="Calibri" w:eastAsia="微软雅黑"/>
          <w:b w:val="0"/>
          <w:color w:val="666666"/>
          <w:sz w:val="21"/>
        </w:rPr>
        <w:t xml:space="preserve">：2026-08-05　|　</w:t>
      </w:r>
      <w:r>
        <w:rPr>
          <w:rFonts w:ascii="Calibri" w:hAnsi="Calibri" w:eastAsia="微软雅黑"/>
          <w:b/>
          <w:color w:val="666666"/>
          <w:sz w:val="21"/>
        </w:rPr>
        <w:t>数据规模</w:t>
      </w:r>
      <w:r>
        <w:rPr>
          <w:rFonts w:ascii="Calibri" w:hAnsi="Calibri" w:eastAsia="微软雅黑"/>
          <w:b w:val="0"/>
          <w:color w:val="666666"/>
          <w:sz w:val="21"/>
        </w:rPr>
        <w:t>：合同 640 条、用户 25 人、部门组合 13 个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1. 文档说明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1.1 目的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统一全系统字段、枚举、主数据的定义与取值标准，作为数据治理、清洗、打标和系统改造的依据。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消除当前数据中“同义不同写、全角半角混用、枚举自由填写、双存储漂移”等问题。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1.2 数据源现状（治理前）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项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现状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运行存储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SQLite（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data/合同台账.db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）为系统实际读写库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确定为唯一权威数据源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交付存储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Excel（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data/合同台账.xlsx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）用于导入/导出、人工查阅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仅作导出交付物，禁止直接修改后回灌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备份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backups/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自动备份，保留 30 天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批量治理前追加“治理前”快照备份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双库一致性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历史上 Excel 与 SQLite 多次不一致（如部门字段）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每次治理后校验两库差异并出具报告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1.3 角色与权限（引用）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维护用户/部门/系统配置；操作全部合同；打标治理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新增合同；编辑/删除本部门合同；设置本人负责合同提醒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查询用户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仅查询、统计、导出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2. 合同台账主表字段字典（Sheet：合同台账，28 列）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表头固定为第一行，数据从第二行开始；日期统一为文本型 </w:t>
      </w:r>
      <w:r>
        <w:rPr>
          <w:rFonts w:ascii="Consolas" w:hAnsi="Consolas" w:eastAsia="微软雅黑"/>
          <w:b w:val="0"/>
          <w:color w:val="1F4D78"/>
          <w:sz w:val="20"/>
        </w:rPr>
        <w:t>yyyy-mm-dd</w:t>
      </w:r>
      <w:r>
        <w:rPr>
          <w:rFonts w:ascii="Calibri" w:hAnsi="Calibri" w:eastAsia="微软雅黑"/>
          <w:b w:val="0"/>
          <w:color w:val="1F4D78"/>
          <w:sz w:val="21"/>
        </w:rPr>
        <w:t>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76"/>
        <w:gridCol w:w="1406"/>
        <w:gridCol w:w="776"/>
        <w:gridCol w:w="776"/>
        <w:gridCol w:w="1968"/>
        <w:gridCol w:w="1968"/>
        <w:gridCol w:w="1968"/>
      </w:tblGrid>
      <w:tr>
        <w:tc>
          <w:tcPr>
            <w:tcW w:type="dxa" w:w="7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列</w:t>
            </w:r>
          </w:p>
        </w:tc>
        <w:tc>
          <w:tcPr>
            <w:tcW w:type="dxa" w:w="140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7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7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9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取值/格式</w:t>
            </w:r>
          </w:p>
        </w:tc>
        <w:tc>
          <w:tcPr>
            <w:tcW w:type="dxa" w:w="19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业务说明</w:t>
            </w:r>
          </w:p>
        </w:tc>
        <w:tc>
          <w:tcPr>
            <w:tcW w:type="dxa" w:w="19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现状问题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唯一，示例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216101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合同唯一标识，禁止重复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无重复，正常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B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项目分类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服务类/维护维修类/货物类/建设项目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合同大类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113 条非标准值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（见 3.1）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项目名称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合同名称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 1 条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决策依据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采购决策依据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决策的招标控制价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文本/数字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控制价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F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招标控制价决策的依据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G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公开招标/竞争性磋商/竞争性谈判/自行采购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采购方式大类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409 条非标准值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（见 3.2）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H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中标单位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中标/成交供应商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I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实际实施单位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实际履约主体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J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合同金额（万元）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数字，保留两位小数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合同总额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5 条缺失、43 条非数字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K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合同主要内容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范围、内容、付款结算要点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 9 条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L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采购完成时间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 条异常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开工时间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10 条异常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N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16 条异常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O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竣工验收时间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16 条异常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现场负责人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姓名（建议单选，不写组合）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现场甲方代表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存在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杨宏玮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杨宏伟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同音异字、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杨宏玮、蔡伟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 组合写法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是否有签证或变更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当前 640 条全为空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，待回填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R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签证或变更情况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Q=是 时填写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是否结算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是/否（建议增“部分结算”）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结算状态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12 条非标准值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（见 3.3）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结算金额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与已支付/未支付勾稽待核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已支付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未支付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数字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W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期限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 xml:space="preserve">如 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1年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合同期限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X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姓名，多人用中文顿号“、”分隔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经办人、分管领导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 3 条；7 名人员不在用户表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备注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文本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补充说明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Z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所属部门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主数据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格式“单位名称-科室名称”，必须存在于部门列表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合同归属，系统自动注入，不可手工改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71 条缺科室后缀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（见 4）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AA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yyyy-mm-dd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重新采购提醒触发日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仅 3 条非空，提醒功能基本未启用</w:t>
            </w:r>
          </w:p>
        </w:tc>
      </w:tr>
      <w:tr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AB</w:t>
            </w:r>
          </w:p>
        </w:tc>
        <w:tc>
          <w:tcPr>
            <w:tcW w:type="dxa" w:w="140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提醒提前天数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7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正整数，空则用全局默认 60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到期前预警天数</w:t>
            </w:r>
          </w:p>
        </w:tc>
        <w:tc>
          <w:tcPr>
            <w:tcW w:type="dxa" w:w="19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3. 枚举字典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3.1 项目分类（B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68"/>
        <w:gridCol w:w="3551"/>
        <w:gridCol w:w="1268"/>
        <w:gridCol w:w="3551"/>
      </w:tblGrid>
      <w:tr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建议含义</w:t>
            </w:r>
          </w:p>
        </w:tc>
        <w:tc>
          <w:tcPr>
            <w:tcW w:type="dxa" w:w="126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35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需清洗的存量值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服务类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物业服务、维保服务、咨询服务等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330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委托支付函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(6)、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造价咨询服务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 建议并入（业务确认）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维护维修类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设备/设施维护维修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61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维修类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(26)、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维修维护类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(22) 建议并入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货物类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办公设备、物资采购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132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建设项目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工程建设、装修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工程类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(56) 需业务确认：并入本类或新增“工程类”</w:t>
            </w:r>
          </w:p>
        </w:tc>
      </w:tr>
      <w:tr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待确认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126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—</w:t>
            </w:r>
          </w:p>
        </w:tc>
        <w:tc>
          <w:tcPr>
            <w:tcW w:type="dxa" w:w="3551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补充协议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(2)：建议按主合同分类，或新增“补充协议”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规则</w:t>
      </w:r>
      <w:r>
        <w:rPr>
          <w:rFonts w:ascii="Calibri" w:hAnsi="Calibri" w:eastAsia="微软雅黑"/>
          <w:b w:val="0"/>
          <w:color w:val="333333"/>
          <w:sz w:val="22"/>
        </w:rPr>
        <w:t>：新建/编辑仅允许从标准值下拉选择；存量清洗前导出“待确认清单”（113 条）人工确认。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3.2 采购方式（G 列）</w:t>
      </w:r>
    </w:p>
    <w:p>
      <w:r>
        <w:rPr>
          <w:rFonts w:ascii="Calibri" w:hAnsi="Calibri" w:eastAsia="微软雅黑"/>
          <w:b/>
          <w:color w:val="333333"/>
          <w:sz w:val="22"/>
        </w:rPr>
        <w:t>建议结构</w:t>
      </w:r>
      <w:r>
        <w:rPr>
          <w:rFonts w:ascii="Calibri" w:hAnsi="Calibri" w:eastAsia="微软雅黑"/>
          <w:b w:val="0"/>
          <w:color w:val="333333"/>
          <w:sz w:val="22"/>
        </w:rPr>
        <w:t xml:space="preserve">：大类（4 项，下拉强制选择）＋ “采购方式说明”文本字段（保留原细分描述），即 </w:t>
      </w:r>
      <w:r>
        <w:rPr>
          <w:rFonts w:ascii="Consolas" w:hAnsi="Consolas" w:eastAsia="微软雅黑"/>
          <w:b w:val="0"/>
          <w:color w:val="333333"/>
          <w:sz w:val="21"/>
        </w:rPr>
        <w:t>自行采购（电子卖场）</w:t>
      </w:r>
      <w:r>
        <w:rPr>
          <w:rFonts w:ascii="Calibri" w:hAnsi="Calibri" w:eastAsia="微软雅黑"/>
          <w:b w:val="0"/>
          <w:color w:val="333333"/>
          <w:sz w:val="22"/>
        </w:rPr>
        <w:t xml:space="preserve"> → 大类=</w:t>
      </w:r>
      <w:r>
        <w:rPr>
          <w:rFonts w:ascii="Consolas" w:hAnsi="Consolas" w:eastAsia="微软雅黑"/>
          <w:b w:val="0"/>
          <w:color w:val="333333"/>
          <w:sz w:val="21"/>
        </w:rPr>
        <w:t>自行采购</w:t>
      </w:r>
      <w:r>
        <w:rPr>
          <w:rFonts w:ascii="Calibri" w:hAnsi="Calibri" w:eastAsia="微软雅黑"/>
          <w:b w:val="0"/>
          <w:color w:val="333333"/>
          <w:sz w:val="22"/>
        </w:rPr>
        <w:t>，说明=</w:t>
      </w:r>
      <w:r>
        <w:rPr>
          <w:rFonts w:ascii="Consolas" w:hAnsi="Consolas" w:eastAsia="微软雅黑"/>
          <w:b w:val="0"/>
          <w:color w:val="333333"/>
          <w:sz w:val="21"/>
        </w:rPr>
        <w:t>电子卖场</w:t>
      </w:r>
      <w:r>
        <w:rPr>
          <w:rFonts w:ascii="Calibri" w:hAnsi="Calibri" w:eastAsia="微软雅黑"/>
          <w:b w:val="0"/>
          <w:color w:val="333333"/>
          <w:sz w:val="22"/>
        </w:rPr>
        <w:t>。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81"/>
        <w:gridCol w:w="7257"/>
      </w:tblGrid>
      <w:tr>
        <w:tc>
          <w:tcPr>
            <w:tcW w:type="dxa" w:w="23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大类</w:t>
            </w:r>
          </w:p>
        </w:tc>
        <w:tc>
          <w:tcPr>
            <w:tcW w:type="dxa" w:w="725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建议并入的存量写法（数量）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公开招标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公开招标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(39)、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自行采购（公开招标）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(31)、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邀请招标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(2)、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邀请招标（联合体投标）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(3)（邀请招标是否单列由业务确认）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竞争性磋商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竞争性磋商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(7)、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政府采购网竞争性磋商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(2)、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自行采购（竞争性磋商）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竞争性谈判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竞争性谈判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(7)、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自行采购（竞争性谈判）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(7+1)、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竞争性谈判,线上直采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(3)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自行采购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(178)、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自行采购（线下邀请）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(120)、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自行采购（电子卖场）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(97)、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自行采购（邀请招标）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(82+5+5)、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自行采购(直接采购)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(12)、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自行采购（询价采购）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(8)、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电子卖场直购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(1+1)、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线下比选，线上直购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832平台单一采购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自行采购（单一来源直采）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自行采购（要求招标）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自行采购（由住建部门遴选…）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自行采购（直接采购）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待确认（业务决策）</w:t>
            </w:r>
          </w:p>
        </w:tc>
        <w:tc>
          <w:tcPr>
            <w:tcW w:type="dxa" w:w="7257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补充协议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(4)、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原合同《…委托管理合同》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(4)、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原合同《市民之家…》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(4)、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框架协议采购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(8)、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单一来源采购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(1)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规则</w:t>
      </w:r>
      <w:r>
        <w:rPr>
          <w:rFonts w:ascii="Calibri" w:hAnsi="Calibri" w:eastAsia="微软雅黑"/>
          <w:b w:val="0"/>
          <w:color w:val="333333"/>
          <w:sz w:val="22"/>
        </w:rPr>
        <w:t>：新建/编辑仅允许 4 大类下拉；全角/半角括号统一为全角，禁止混用。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3.3 是否结算（S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577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已结算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未结算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部分结算（建议新增）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已有该写法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建议回填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color w:val="333333"/>
          <w:sz w:val="22"/>
        </w:rPr>
        <w:t>需清洗（12 条）</w:t>
      </w:r>
      <w:r>
        <w:rPr>
          <w:rFonts w:ascii="Calibri" w:hAnsi="Calibri" w:eastAsia="微软雅黑"/>
          <w:b w:val="0"/>
          <w:color w:val="333333"/>
          <w:sz w:val="22"/>
        </w:rPr>
        <w:t>：</w:t>
      </w:r>
      <w:r>
        <w:rPr>
          <w:rFonts w:ascii="Consolas" w:hAnsi="Consolas" w:eastAsia="微软雅黑"/>
          <w:b w:val="0"/>
          <w:color w:val="333333"/>
          <w:sz w:val="21"/>
        </w:rPr>
        <w:t>按季度结算</w:t>
      </w:r>
      <w:r>
        <w:rPr>
          <w:rFonts w:ascii="Calibri" w:hAnsi="Calibri" w:eastAsia="微软雅黑"/>
          <w:b w:val="0"/>
          <w:color w:val="333333"/>
          <w:sz w:val="22"/>
        </w:rPr>
        <w:t>(3)、</w:t>
      </w:r>
      <w:r>
        <w:rPr>
          <w:rFonts w:ascii="Consolas" w:hAnsi="Consolas" w:eastAsia="微软雅黑"/>
          <w:b w:val="0"/>
          <w:color w:val="333333"/>
          <w:sz w:val="21"/>
        </w:rPr>
        <w:t>按月结算</w:t>
      </w:r>
      <w:r>
        <w:rPr>
          <w:rFonts w:ascii="Calibri" w:hAnsi="Calibri" w:eastAsia="微软雅黑"/>
          <w:b w:val="0"/>
          <w:color w:val="333333"/>
          <w:sz w:val="22"/>
        </w:rPr>
        <w:t>(2)、</w:t>
      </w:r>
      <w:r>
        <w:rPr>
          <w:rFonts w:ascii="Consolas" w:hAnsi="Consolas" w:eastAsia="微软雅黑"/>
          <w:b w:val="0"/>
          <w:color w:val="333333"/>
          <w:sz w:val="21"/>
        </w:rPr>
        <w:t>按年度结算</w:t>
      </w:r>
      <w:r>
        <w:rPr>
          <w:rFonts w:ascii="Calibri" w:hAnsi="Calibri" w:eastAsia="微软雅黑"/>
          <w:b w:val="0"/>
          <w:color w:val="333333"/>
          <w:sz w:val="22"/>
        </w:rPr>
        <w:t>(2)、</w:t>
      </w:r>
      <w:r>
        <w:rPr>
          <w:rFonts w:ascii="Consolas" w:hAnsi="Consolas" w:eastAsia="微软雅黑"/>
          <w:b w:val="0"/>
          <w:color w:val="333333"/>
          <w:sz w:val="21"/>
        </w:rPr>
        <w:t>按月支付</w:t>
      </w:r>
      <w:r>
        <w:rPr>
          <w:rFonts w:ascii="Calibri" w:hAnsi="Calibri" w:eastAsia="微软雅黑"/>
          <w:b w:val="0"/>
          <w:color w:val="333333"/>
          <w:sz w:val="22"/>
        </w:rPr>
        <w:t>(1)、</w:t>
      </w:r>
      <w:r>
        <w:rPr>
          <w:rFonts w:ascii="Consolas" w:hAnsi="Consolas" w:eastAsia="微软雅黑"/>
          <w:b w:val="0"/>
          <w:color w:val="333333"/>
          <w:sz w:val="21"/>
        </w:rPr>
        <w:t>由具体实施的单项项目结算</w:t>
      </w:r>
      <w:r>
        <w:rPr>
          <w:rFonts w:ascii="Calibri" w:hAnsi="Calibri" w:eastAsia="微软雅黑"/>
          <w:b w:val="0"/>
          <w:color w:val="333333"/>
          <w:sz w:val="22"/>
        </w:rPr>
        <w:t>(1)、</w:t>
      </w:r>
      <w:r>
        <w:rPr>
          <w:rFonts w:ascii="Consolas" w:hAnsi="Consolas" w:eastAsia="微软雅黑"/>
          <w:b w:val="0"/>
          <w:color w:val="333333"/>
          <w:sz w:val="21"/>
        </w:rPr>
        <w:t>/</w:t>
      </w:r>
      <w:r>
        <w:rPr>
          <w:rFonts w:ascii="Calibri" w:hAnsi="Calibri" w:eastAsia="微软雅黑"/>
          <w:b w:val="0"/>
          <w:color w:val="333333"/>
          <w:sz w:val="22"/>
        </w:rPr>
        <w:t xml:space="preserve">(2) —— 此类为“结算/支付方式”，建议 S 列改 </w:t>
      </w:r>
      <w:r>
        <w:rPr>
          <w:rFonts w:ascii="Consolas" w:hAnsi="Consolas" w:eastAsia="微软雅黑"/>
          <w:b w:val="0"/>
          <w:color w:val="333333"/>
          <w:sz w:val="21"/>
        </w:rPr>
        <w:t>是/否/部分结算</w:t>
      </w:r>
      <w:r>
        <w:rPr>
          <w:rFonts w:ascii="Calibri" w:hAnsi="Calibri" w:eastAsia="微软雅黑"/>
          <w:b w:val="0"/>
          <w:color w:val="333333"/>
          <w:sz w:val="22"/>
        </w:rPr>
        <w:t>，原文移入 Y 备注。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3.4 是否有签证或变更（Q 列）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标准值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当前数量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当前全库为空，需结合 O/R 列回填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同上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640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治理任务：组织逐条回填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4. 部门主数据（Sheet：部门列表）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部门组合（13 个，全局唯一）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8"/>
        <w:gridCol w:w="1814"/>
        <w:gridCol w:w="5216"/>
      </w:tblGrid>
      <w:tr>
        <w:tc>
          <w:tcPr>
            <w:tcW w:type="dxa" w:w="260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单位名称</w:t>
            </w:r>
          </w:p>
        </w:tc>
        <w:tc>
          <w:tcPr>
            <w:tcW w:type="dxa" w:w="181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科室名称</w:t>
            </w:r>
          </w:p>
        </w:tc>
        <w:tc>
          <w:tcPr>
            <w:tcW w:type="dxa" w:w="521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当前合同数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办公室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财务科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人事与政策法规科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局领导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综合组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29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公车管理组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126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物业管理组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182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工程建设组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117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后勤管理组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85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领导班子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后勤中心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市民之家专班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  <w:tr>
        <w:tc>
          <w:tcPr>
            <w:tcW w:type="dxa" w:w="260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周转住房专班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待确认（71 条）</w:t>
      </w:r>
    </w:p>
    <w:p>
      <w:r>
        <w:rPr>
          <w:rFonts w:ascii="Consolas" w:hAnsi="Consolas" w:eastAsia="微软雅黑"/>
          <w:b w:val="0"/>
          <w:color w:val="333333"/>
          <w:sz w:val="21"/>
        </w:rPr>
        <w:t>所属部门 = 湘潭市机关事务管理局后勤中心</w:t>
      </w:r>
      <w:r>
        <w:rPr>
          <w:rFonts w:ascii="Calibri" w:hAnsi="Calibri" w:eastAsia="微软雅黑"/>
          <w:b w:val="0"/>
          <w:color w:val="333333"/>
          <w:sz w:val="22"/>
        </w:rPr>
        <w:t>（缺科室后缀）的 71 条合同，需业务按实际归属确认到以下科室之一：综合组 / 公车管理组 / 物业管理组 / 工程建设组 / 后勤管理组 / 领导班子 / 其他。</w:t>
      </w:r>
    </w:p>
    <w:p>
      <w:pPr>
        <w:spacing w:before="80" w:after="160"/>
        <w:ind w:left="170" w:right="170"/>
        <w:shd w:val="clear" w:color="auto" w:fill="EAF3FB"/>
        <w:pBdr>
          <w:left w:val="single" w:sz="14" w:space="4" w:color="1E90FF"/>
        </w:pBdr>
      </w:pPr>
      <w:r>
        <w:rPr>
          <w:rFonts w:ascii="Calibri" w:hAnsi="Calibri" w:eastAsia="微软雅黑"/>
          <w:b w:val="0"/>
          <w:color w:val="1F4D78"/>
          <w:sz w:val="21"/>
        </w:rPr>
        <w:t xml:space="preserve">提示：部门组合 </w:t>
      </w:r>
      <w:r>
        <w:rPr>
          <w:rFonts w:ascii="Consolas" w:hAnsi="Consolas" w:eastAsia="微软雅黑"/>
          <w:b w:val="0"/>
          <w:color w:val="1F4D78"/>
          <w:sz w:val="20"/>
        </w:rPr>
        <w:t>后勤中心-后勤中心</w:t>
      </w:r>
      <w:r>
        <w:rPr>
          <w:rFonts w:ascii="Calibri" w:hAnsi="Calibri" w:eastAsia="微软雅黑"/>
          <w:b w:val="0"/>
          <w:color w:val="1F4D78"/>
          <w:sz w:val="21"/>
        </w:rPr>
        <w:t xml:space="preserve"> 命名冗余，建议更名或停用。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4.3 校验规则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合同 Z 列、用户“所属部门”必须等于“单位名称-科室名称”组合；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删除部门前校验无用户、无合同关联。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5. 人员主数据（Sheet：用户表）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5.1 用户字典（25 人）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62"/>
        <w:gridCol w:w="1662"/>
        <w:gridCol w:w="1662"/>
        <w:gridCol w:w="4652"/>
      </w:tblGrid>
      <w:tr>
        <w:tc>
          <w:tcPr>
            <w:tcW w:type="dxa" w:w="166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66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用户名</w:t>
            </w:r>
          </w:p>
        </w:tc>
        <w:tc>
          <w:tcPr>
            <w:tcW w:type="dxa" w:w="166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4652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所属部门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系统管理员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admin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湘潭市机关事务管理局本级-办公室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成思远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成思远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湘潭市机关事务管理局本级-局领导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杨依儒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杨依儒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湘潭市机关事务管理局本级-局领导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陈爱民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陈爱民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湘潭市机关事务管理局后勤中心-领导班子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陈飞舟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陈飞舟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湘潭市机关事务管理局本级-局领导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廖笛纯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廖笛纯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湘潭市机关事务管理局后勤中心-综合组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彭思婕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彭思婕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湘潭市机关事务管理局后勤中心-综合组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文晨光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文晨光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湘潭市机关事务管理局后勤中心-公车管理组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谢湘华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谢湘华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湘潭市机关事务管理局后勤中心-公车管理组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吴慧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吴慧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湘潭市机关事务管理局后勤中心-公车管理组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朱博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朱博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湘潭市机关事务管理局后勤中心-工程建设组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索前锋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索前锋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湘潭市机关事务管理局后勤中心-工程建设组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欧阳源涵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欧阳源涵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湘潭市机关事务管理局后勤中心-后勤管理组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黄双萍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黄双萍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湘潭市机关事务管理局后勤中心-后勤管理组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杨惠风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杨惠风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罗响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罗响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蔡伟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蔡伟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杨宏伟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杨宏伟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湘潭市机关事务管理局后勤中心-物业管理组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刘勇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刘勇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湘潭市机关事务管理局后勤中心-领导班子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章伟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章伟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湘潭市机关事务管理局后勤中心-领导班子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谢玮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谢玮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查询用户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湘潭市机关事务管理局后勤中心-领导班子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李霞辉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李霞辉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湘潭市机关事务管理局本级-财务科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罗洪波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罗洪波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湘潭市机关事务管理局本级-办公室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肖瑶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肖瑶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湘潭市机关事务管理局本级-办公室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郭利君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郭利君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普通用户</w:t>
            </w:r>
          </w:p>
        </w:tc>
        <w:tc>
          <w:tcPr>
            <w:tcW w:type="dxa" w:w="4652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湘潭市机关事务管理局本级-人事与政策法规科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5.2 合同中出现但不在用户表的人员（需补录或确认）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483"/>
        <w:gridCol w:w="2521"/>
        <w:gridCol w:w="1483"/>
        <w:gridCol w:w="4151"/>
      </w:tblGrid>
      <w:tr>
        <w:tc>
          <w:tcPr>
            <w:tcW w:type="dxa" w:w="148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252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出现位置</w:t>
            </w:r>
          </w:p>
        </w:tc>
        <w:tc>
          <w:tcPr>
            <w:tcW w:type="dxa" w:w="148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次数</w:t>
            </w:r>
          </w:p>
        </w:tc>
        <w:tc>
          <w:tcPr>
            <w:tcW w:type="dxa" w:w="415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滕婷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经办人/现场负责人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3/59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刘聚丰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14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曾明锋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李理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经办人/现场负责人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6/6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刘雅昳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经办人/现场负责人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4/16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黄天宇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曾富华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补录用户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廖朝媛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现场负责人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75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补录或确认为外部人员</w:t>
            </w:r>
          </w:p>
        </w:tc>
      </w:tr>
      <w:tr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杨宏玮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现场负责人</w:t>
            </w:r>
          </w:p>
        </w:tc>
        <w:tc>
          <w:tcPr>
            <w:tcW w:type="dxa" w:w="148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5+2</w:t>
            </w:r>
          </w:p>
        </w:tc>
        <w:tc>
          <w:tcPr>
            <w:tcW w:type="dxa" w:w="415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333333"/>
                <w:sz w:val="21"/>
              </w:rPr>
              <w:t>疑似与“杨宏伟”同音异字，统一为“杨宏伟”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5.3 人员字段规范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X 列“经办人”：姓名与姓名之间用中文顿号“、”，禁止用 </w:t>
      </w:r>
      <w:r>
        <w:rPr>
          <w:rFonts w:ascii="Consolas" w:hAnsi="Consolas" w:eastAsia="微软雅黑"/>
          <w:b w:val="0"/>
          <w:color w:val="333333"/>
          <w:sz w:val="21"/>
        </w:rPr>
        <w:t>/</w:t>
      </w:r>
      <w:r>
        <w:rPr>
          <w:rFonts w:ascii="Calibri" w:hAnsi="Calibri" w:eastAsia="微软雅黑"/>
          <w:b w:val="0"/>
          <w:color w:val="333333"/>
          <w:sz w:val="22"/>
        </w:rPr>
        <w:t>、</w:t>
      </w:r>
      <w:r>
        <w:rPr>
          <w:rFonts w:ascii="Consolas" w:hAnsi="Consolas" w:eastAsia="微软雅黑"/>
          <w:b w:val="0"/>
          <w:color w:val="333333"/>
          <w:sz w:val="21"/>
        </w:rPr>
        <w:t>,</w:t>
      </w:r>
      <w:r>
        <w:rPr>
          <w:rFonts w:ascii="Calibri" w:hAnsi="Calibri" w:eastAsia="微软雅黑"/>
          <w:b w:val="0"/>
          <w:color w:val="333333"/>
          <w:sz w:val="22"/>
        </w:rPr>
        <w:t xml:space="preserve"> 混写；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P 列“现场负责人”：建议单人名，禁止组合写法（如 </w:t>
      </w:r>
      <w:r>
        <w:rPr>
          <w:rFonts w:ascii="Consolas" w:hAnsi="Consolas" w:eastAsia="微软雅黑"/>
          <w:b w:val="0"/>
          <w:color w:val="333333"/>
          <w:sz w:val="21"/>
        </w:rPr>
        <w:t>杨宏玮、蔡伟</w:t>
      </w:r>
      <w:r>
        <w:rPr>
          <w:rFonts w:ascii="Calibri" w:hAnsi="Calibri" w:eastAsia="微软雅黑"/>
          <w:b w:val="0"/>
          <w:color w:val="333333"/>
          <w:sz w:val="22"/>
        </w:rPr>
        <w:t>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6. 标签体系（数据打标）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6.1 实现方案（建议）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轻量方案：</w:t>
      </w:r>
      <w:r>
        <w:rPr>
          <w:rFonts w:ascii="Consolas" w:hAnsi="Consolas" w:eastAsia="微软雅黑"/>
          <w:b w:val="0"/>
          <w:color w:val="333333"/>
          <w:sz w:val="21"/>
        </w:rPr>
        <w:t>contracts</w:t>
      </w:r>
      <w:r>
        <w:rPr>
          <w:rFonts w:ascii="Calibri" w:hAnsi="Calibri" w:eastAsia="微软雅黑"/>
          <w:b w:val="0"/>
          <w:color w:val="333333"/>
          <w:sz w:val="22"/>
        </w:rPr>
        <w:t xml:space="preserve"> 表新增 </w:t>
      </w:r>
      <w:r>
        <w:rPr>
          <w:rFonts w:ascii="Consolas" w:hAnsi="Consolas" w:eastAsia="微软雅黑"/>
          <w:b w:val="0"/>
          <w:color w:val="333333"/>
          <w:sz w:val="21"/>
        </w:rPr>
        <w:t>标签</w:t>
      </w:r>
      <w:r>
        <w:rPr>
          <w:rFonts w:ascii="Calibri" w:hAnsi="Calibri" w:eastAsia="微软雅黑"/>
          <w:b w:val="0"/>
          <w:color w:val="333333"/>
          <w:sz w:val="22"/>
        </w:rPr>
        <w:t xml:space="preserve"> 文本列，逗号分隔（便于 Excel 查阅）；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规范方案：新增 </w:t>
      </w:r>
      <w:r>
        <w:rPr>
          <w:rFonts w:ascii="Consolas" w:hAnsi="Consolas" w:eastAsia="微软雅黑"/>
          <w:b w:val="0"/>
          <w:color w:val="333333"/>
          <w:sz w:val="21"/>
        </w:rPr>
        <w:t>tags</w:t>
      </w:r>
      <w:r>
        <w:rPr>
          <w:rFonts w:ascii="Calibri" w:hAnsi="Calibri" w:eastAsia="微软雅黑"/>
          <w:b w:val="0"/>
          <w:color w:val="333333"/>
          <w:sz w:val="22"/>
        </w:rPr>
        <w:t xml:space="preserve"> 表（合同编号、标签名、打标人、打标时间、标签类型），支持审计与多标签；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推荐：先按轻量方案落地，同时用“质量标签”自动生成，业务标签人工维护。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6.2 标签字典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134"/>
        <w:gridCol w:w="1361"/>
        <w:gridCol w:w="2835"/>
        <w:gridCol w:w="3175"/>
        <w:gridCol w:w="1133"/>
      </w:tblGrid>
      <w:tr>
        <w:tc>
          <w:tcPr>
            <w:tcW w:type="dxa" w:w="113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标签组</w:t>
            </w:r>
          </w:p>
        </w:tc>
        <w:tc>
          <w:tcPr>
            <w:tcW w:type="dxa" w:w="136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标签名</w:t>
            </w:r>
          </w:p>
        </w:tc>
        <w:tc>
          <w:tcPr>
            <w:tcW w:type="dxa" w:w="283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取值</w:t>
            </w:r>
          </w:p>
        </w:tc>
        <w:tc>
          <w:tcPr>
            <w:tcW w:type="dxa" w:w="3175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113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打标方式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业务属性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延续性项目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每年或定期需重新采购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人工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业务属性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重点合同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金额大、影响面广，需重点跟踪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人工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业务属性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金额等级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≥100万 / 50-100万 / &lt;50万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按合同金额自动分级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进行中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未完工未结算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已完工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完工时间非空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已结算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是否结算=是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已验收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竣工验收时间非空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生命周期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超期未验收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完工超期仍无验收时间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临近招采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距下次招采 ≤ 提醒天数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已过期未招采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下次招采时间已过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无中标单位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中标单位为空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金额为0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合同金额为 0 或空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风险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结算异常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已支付+未支付≠结算金额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缺必填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字段名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必填字段为空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格式异常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字段名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日期/金额/枚举不合规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人名不一致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与用户主数据不符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数据质量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待人工复核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是/否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自动规则无法判定</w:t>
            </w:r>
          </w:p>
        </w:tc>
        <w:tc>
          <w:tcPr>
            <w:tcW w:type="dxa" w:w="11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自动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6.3 打标顺序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自动质量标签（数据清洗完成后重跑）；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自动业务/风险标签；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>人工业务标签（延续性项目、重点合同）——建议先标注“延续性项目”，直接服务重新采购提醒。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7. 系统配置字典（Sheet：系统配置）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33"/>
        <w:gridCol w:w="1439"/>
        <w:gridCol w:w="1439"/>
        <w:gridCol w:w="4027"/>
      </w:tblGrid>
      <w:tr>
        <w:tc>
          <w:tcPr>
            <w:tcW w:type="dxa" w:w="273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1439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439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当前值</w:t>
            </w:r>
          </w:p>
        </w:tc>
        <w:tc>
          <w:tcPr>
            <w:tcW w:type="dxa" w:w="402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73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default_remind_days</w:t>
            </w:r>
          </w:p>
        </w:tc>
        <w:tc>
          <w:tcPr>
            <w:tcW w:type="dxa" w:w="143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整数</w:t>
            </w:r>
          </w:p>
        </w:tc>
        <w:tc>
          <w:tcPr>
            <w:tcW w:type="dxa" w:w="143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60</w:t>
            </w:r>
          </w:p>
        </w:tc>
        <w:tc>
          <w:tcPr>
            <w:tcW w:type="dxa" w:w="402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全局默认提醒提前天数，管理员可改，即时生效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8. 数据质量校验规则（落地为脚本/接口校验）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20"/>
        <w:gridCol w:w="3697"/>
        <w:gridCol w:w="1320"/>
        <w:gridCol w:w="3301"/>
      </w:tblGrid>
      <w:tr>
        <w:tc>
          <w:tcPr>
            <w:tcW w:type="dxa" w:w="1320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69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320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330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编号非空且唯一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新增/编辑校验，重复拒绝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Q2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项目分类 ∈ 标准枚举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表单下拉 + 后端校验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Q3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采购方式 ∈ 标准枚举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表单下拉 + 后端校验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Q4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是否结算 ∈ 是/否/部分结算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表单下拉 + 后端校验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Q5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日期字段格式 yyyy-mm-dd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前端 date 控件 + 后端校验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Q6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金额字段为数字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后端转数值，非法报错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Q7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所属部门 ∈ 部门列表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后端校验，自动注入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Q8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经办人姓名 ∈ 用户主数据（或白名单）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提示但不强制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Q9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已支付+未支付=结算金额（容差 0.01）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月审计报告提示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Q10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结算金额 ≤ 合同金额（容差 1%）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月审计报告提示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Q11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下次招采时间 ≥ 当前日期时正常预警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提醒逻辑</w:t>
            </w:r>
          </w:p>
        </w:tc>
      </w:tr>
      <w:tr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Q12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是否有签证或变更 ∈ 是/否</w:t>
            </w:r>
          </w:p>
        </w:tc>
        <w:tc>
          <w:tcPr>
            <w:tcW w:type="dxa" w:w="1320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强</w:t>
            </w:r>
          </w:p>
        </w:tc>
        <w:tc>
          <w:tcPr>
            <w:tcW w:type="dxa" w:w="330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回填后启用下拉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9. 实施路线（建议顺序）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84"/>
        <w:gridCol w:w="3697"/>
        <w:gridCol w:w="2376"/>
        <w:gridCol w:w="1981"/>
      </w:tblGrid>
      <w:tr>
        <w:tc>
          <w:tcPr>
            <w:tcW w:type="dxa" w:w="158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697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37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198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责任人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 标准冻结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本字典经业务确认（3.1/3.2/3.3 的待确认项、4.2 部门归属）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定稿版数据字典</w:t>
            </w:r>
          </w:p>
        </w:tc>
        <w:tc>
          <w:tcPr>
            <w:tcW w:type="dxa" w:w="19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管理员+业务科室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2 低风险清洗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枚举映射（可自动部分）、日期规范化、人名统一、金额转数值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清洗脚本+差异报告</w:t>
            </w:r>
          </w:p>
        </w:tc>
        <w:tc>
          <w:tcPr>
            <w:tcW w:type="dxa" w:w="19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管理员（脚本）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 人工复核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71 条部门归属、113 条分类、409 条采购方式、43 条金额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待确认清单逐条确认</w:t>
            </w:r>
          </w:p>
        </w:tc>
        <w:tc>
          <w:tcPr>
            <w:tcW w:type="dxa" w:w="19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业务科室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 双库同步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SQLite=权威，Excel 重新导出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一致性校验报告</w:t>
            </w:r>
          </w:p>
        </w:tc>
        <w:tc>
          <w:tcPr>
            <w:tcW w:type="dxa" w:w="19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 打标落地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标签列/表 + 自动标签 + 前端展示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标签功能上线</w:t>
            </w:r>
          </w:p>
        </w:tc>
        <w:tc>
          <w:tcPr>
            <w:tcW w:type="dxa" w:w="19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开发</w:t>
            </w:r>
          </w:p>
        </w:tc>
      </w:tr>
      <w:tr>
        <w:tc>
          <w:tcPr>
            <w:tcW w:type="dxa" w:w="158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6 机制固化</w:t>
            </w:r>
          </w:p>
        </w:tc>
        <w:tc>
          <w:tcPr>
            <w:tcW w:type="dxa" w:w="3697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表单下拉字典、后端强校验、月审计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审计报告</w:t>
            </w:r>
          </w:p>
        </w:tc>
        <w:tc>
          <w:tcPr>
            <w:tcW w:type="dxa" w:w="198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管理员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/>
          <w:color w:val="333333"/>
          <w:sz w:val="22"/>
        </w:rPr>
        <w:t>本表为治理基线文档，随业务确认与清洗进度迭代版本（V1.1、V1.2…）。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数据字典表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《数据字典表》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