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Calibri" w:hAnsi="Calibri" w:eastAsia="微软雅黑"/>
          <w:b/>
          <w:color w:val="1F4D78"/>
          <w:sz w:val="44"/>
        </w:rPr>
        <w:t>《数据库规范化评估报告》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系统名称：“潭合同”台账管理系统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使用单位：湘潭市机关事务管理局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版本：V1.0（2026年8月）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评估性质：只读评估，评估过程中未对系统功能、代码与文档做任何修改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评估对象：</w:t>
      </w:r>
      <w:r>
        <w:rPr>
          <w:rFonts w:ascii="Consolas" w:hAnsi="Consolas" w:eastAsia="微软雅黑"/>
          <w:b w:val="0"/>
          <w:color w:val="1F4D78"/>
          <w:sz w:val="20"/>
        </w:rPr>
        <w:t>data/合同台账.db</w:t>
      </w:r>
      <w:r>
        <w:rPr>
          <w:rFonts w:ascii="Calibri" w:hAnsi="Calibri" w:eastAsia="微软雅黑"/>
          <w:b w:val="0"/>
          <w:color w:val="1F4D78"/>
          <w:sz w:val="21"/>
        </w:rPr>
        <w:t>（SQLite，共 6 张业务表）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一、评估范围与方法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评估范围</w:t>
      </w:r>
      <w:r>
        <w:rPr>
          <w:rFonts w:ascii="Calibri" w:hAnsi="Calibri" w:eastAsia="微软雅黑"/>
          <w:b w:val="0"/>
          <w:color w:val="333333"/>
          <w:sz w:val="22"/>
        </w:rPr>
        <w:t>：系统全部 6 张业务表（contracts、users、departments、settings、attachments、operation_logs）的表结构、字段类型、约束、索引及存量数据特征。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评估方法</w:t>
      </w:r>
      <w:r>
        <w:rPr>
          <w:rFonts w:ascii="Calibri" w:hAnsi="Calibri" w:eastAsia="微软雅黑"/>
          <w:b w:val="0"/>
          <w:color w:val="333333"/>
          <w:sz w:val="22"/>
        </w:rPr>
        <w:t xml:space="preserve">：以关系数据库第一范式（1NF）、第二范式（2NF）、第三范式（3NF）、BCNF 及通用设计规范为基准，结合 </w:t>
      </w:r>
      <w:r>
        <w:rPr>
          <w:rFonts w:ascii="Consolas" w:hAnsi="Consolas" w:eastAsia="微软雅黑"/>
          <w:b w:val="0"/>
          <w:color w:val="333333"/>
          <w:sz w:val="21"/>
        </w:rPr>
        <w:t>PRAGMA table_info</w:t>
      </w:r>
      <w:r>
        <w:rPr>
          <w:rFonts w:ascii="Calibri" w:hAnsi="Calibri" w:eastAsia="微软雅黑"/>
          <w:b w:val="0"/>
          <w:color w:val="333333"/>
          <w:sz w:val="22"/>
        </w:rPr>
        <w:t xml:space="preserve"> 实测与存量数据统计逐项核对。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数据规模（2026-08 实测）</w:t>
      </w:r>
      <w:r>
        <w:rPr>
          <w:rFonts w:ascii="Calibri" w:hAnsi="Calibri" w:eastAsia="微软雅黑"/>
          <w:b w:val="0"/>
          <w:color w:val="333333"/>
          <w:sz w:val="22"/>
        </w:rPr>
        <w:t>：合同 639 条、用户 26 人、部门组合 13 个、附件 6 条、操作日志 331 条。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系统形态</w:t>
      </w:r>
      <w:r>
        <w:rPr>
          <w:rFonts w:ascii="Calibri" w:hAnsi="Calibri" w:eastAsia="微软雅黑"/>
          <w:b w:val="0"/>
          <w:color w:val="333333"/>
          <w:sz w:val="22"/>
        </w:rPr>
        <w:t>：单机轻量级 Web 应用，后端 Flask（</w:t>
      </w:r>
      <w:r>
        <w:rPr>
          <w:rFonts w:ascii="Consolas" w:hAnsi="Consolas" w:eastAsia="微软雅黑"/>
          <w:b w:val="0"/>
          <w:color w:val="333333"/>
          <w:sz w:val="21"/>
        </w:rPr>
        <w:t>app.py</w:t>
      </w:r>
      <w:r>
        <w:rPr>
          <w:rFonts w:ascii="Calibri" w:hAnsi="Calibri" w:eastAsia="微软雅黑"/>
          <w:b w:val="0"/>
          <w:color w:val="333333"/>
          <w:sz w:val="22"/>
        </w:rPr>
        <w:t xml:space="preserve"> 1605 行、36 个路由），前端单页 HTML（</w:t>
      </w:r>
      <w:r>
        <w:rPr>
          <w:rFonts w:ascii="Consolas" w:hAnsi="Consolas" w:eastAsia="微软雅黑"/>
          <w:b w:val="0"/>
          <w:color w:val="333333"/>
          <w:sz w:val="21"/>
        </w:rPr>
        <w:t>templates/index.html</w:t>
      </w:r>
      <w:r>
        <w:rPr>
          <w:rFonts w:ascii="Calibri" w:hAnsi="Calibri" w:eastAsia="微软雅黑"/>
          <w:b w:val="0"/>
          <w:color w:val="333333"/>
          <w:sz w:val="22"/>
        </w:rPr>
        <w:t xml:space="preserve"> 1607 行），数据存储 SQLite。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二、现状数据库总览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2.1 表结构清单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551"/>
        <w:gridCol w:w="2326"/>
        <w:gridCol w:w="1108"/>
        <w:gridCol w:w="1551"/>
        <w:gridCol w:w="3102"/>
      </w:tblGrid>
      <w:tr>
        <w:tc>
          <w:tcPr>
            <w:tcW w:type="dxa" w:w="1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表名</w:t>
            </w:r>
          </w:p>
        </w:tc>
        <w:tc>
          <w:tcPr>
            <w:tcW w:type="dxa" w:w="232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用途</w:t>
            </w:r>
          </w:p>
        </w:tc>
        <w:tc>
          <w:tcPr>
            <w:tcW w:type="dxa" w:w="11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行数</w:t>
            </w:r>
          </w:p>
        </w:tc>
        <w:tc>
          <w:tcPr>
            <w:tcW w:type="dxa" w:w="1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主键</w:t>
            </w:r>
          </w:p>
        </w:tc>
        <w:tc>
          <w:tcPr>
            <w:tcW w:type="dxa" w:w="31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外键/索引/约束</w:t>
            </w:r>
          </w:p>
        </w:tc>
      </w:tr>
      <w:tr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contracts</w:t>
            </w:r>
          </w:p>
        </w:tc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合同台账主表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639</w:t>
            </w:r>
          </w:p>
        </w:tc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id（自增）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无外键、无索引、无 CHECK、无 NOT NULL</w:t>
            </w:r>
          </w:p>
        </w:tc>
      </w:tr>
      <w:tr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users</w:t>
            </w:r>
          </w:p>
        </w:tc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系统用户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26</w:t>
            </w:r>
          </w:p>
        </w:tc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用户名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</w:t>
            </w:r>
          </w:p>
        </w:tc>
      </w:tr>
      <w:tr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departments</w:t>
            </w:r>
          </w:p>
        </w:tc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部门组合（单位-科室）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</w:t>
            </w:r>
          </w:p>
        </w:tc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无主键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</w:t>
            </w:r>
          </w:p>
        </w:tc>
      </w:tr>
      <w:tr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</w:t>
            </w:r>
          </w:p>
        </w:tc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系统配置（键值对）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若干</w:t>
            </w:r>
          </w:p>
        </w:tc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配置项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</w:t>
            </w:r>
          </w:p>
        </w:tc>
      </w:tr>
      <w:tr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attachments</w:t>
            </w:r>
          </w:p>
        </w:tc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合同附件索引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</w:t>
            </w:r>
          </w:p>
        </w:tc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附件ID（UUID）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无（合同编号逻辑关联）</w:t>
            </w:r>
          </w:p>
        </w:tc>
      </w:tr>
      <w:tr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operation_logs</w:t>
            </w:r>
          </w:p>
        </w:tc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操作审计日志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331</w:t>
            </w:r>
          </w:p>
        </w:tc>
        <w:tc>
          <w:tcPr>
            <w:tcW w:type="dxa" w:w="1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2.2 contracts 表字段特征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35"/>
        <w:gridCol w:w="1417"/>
        <w:gridCol w:w="1417"/>
        <w:gridCol w:w="3969"/>
      </w:tblGrid>
      <w:tr>
        <w:tc>
          <w:tcPr>
            <w:tcW w:type="dxa" w:w="283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141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141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非空/639</w:t>
            </w:r>
          </w:p>
        </w:tc>
        <w:tc>
          <w:tcPr>
            <w:tcW w:type="dxa" w:w="3969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规范问题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编号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639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 UNIQUE 约束，唯一性仅应用层校验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项目分类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639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枚举无约束，实测 10 种写法（标准值 4 种）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638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枚举无约束，实测 30+ 种写法（标准值 4 种）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合同金额（万元）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634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 CHECK（金额≥0）；存量 5 条缺失、43 条非数字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所属部门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639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复合属性“单位名称-科室名称”单串；71 条缺科室后缀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636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多值顿号分隔（如“曾富华、欧阳源涵”）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期限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420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自由文本，实测 200+ 种写法，无法结构化查询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未支付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584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可由“合同金额 − 已支付”推导（冗余存储）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是否有签证或变更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全库为空（结构预留未启用）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签证或变更情况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资金来源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枚举无约束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是否归档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枚举无约束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采购时间/开工/完工等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623–637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文本型日期，格式不统一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说明：以上枚举现状与《数据字典表》中“113 条非标准项目分类、409 条非标准采购方式、12 条非标准是否结算”的治理结论一致。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三、规范化问题诊断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3.1 第一范式（1NF）违规——属性非原子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经办人多值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contracts.经办人</w:t>
      </w:r>
      <w:r>
        <w:rPr>
          <w:rFonts w:ascii="Calibri" w:hAnsi="Calibri" w:eastAsia="微软雅黑"/>
          <w:b w:val="0"/>
          <w:color w:val="333333"/>
          <w:sz w:val="22"/>
        </w:rPr>
        <w:t xml:space="preserve"> 以中文顿号分隔多人（实测存在“曾富华、欧阳源涵”），无法按单人做数据库级查询、统计与权限判断，需依赖 </w:t>
      </w:r>
      <w:r>
        <w:rPr>
          <w:rFonts w:ascii="Consolas" w:hAnsi="Consolas" w:eastAsia="微软雅黑"/>
          <w:b w:val="0"/>
          <w:color w:val="333333"/>
          <w:sz w:val="21"/>
        </w:rPr>
        <w:t>_split_names()</w:t>
      </w:r>
      <w:r>
        <w:rPr>
          <w:rFonts w:ascii="Calibri" w:hAnsi="Calibri" w:eastAsia="微软雅黑"/>
          <w:b w:val="0"/>
          <w:color w:val="333333"/>
          <w:sz w:val="22"/>
        </w:rPr>
        <w:t xml:space="preserve"> 内存解析。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分管部门多值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users.分管部门</w:t>
      </w:r>
      <w:r>
        <w:rPr>
          <w:rFonts w:ascii="Calibri" w:hAnsi="Calibri" w:eastAsia="微软雅黑"/>
          <w:b w:val="0"/>
          <w:color w:val="333333"/>
          <w:sz w:val="22"/>
        </w:rPr>
        <w:t xml:space="preserve"> 同样以顿号分隔多个部门（实测“综合组、公车管理组”等多值样例），权限过滤需内存拆解。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所属部门复合属性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contracts.所属部门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users.所属部门</w:t>
      </w:r>
      <w:r>
        <w:rPr>
          <w:rFonts w:ascii="Calibri" w:hAnsi="Calibri" w:eastAsia="微软雅黑"/>
          <w:b w:val="0"/>
          <w:color w:val="333333"/>
          <w:sz w:val="22"/>
        </w:rPr>
        <w:t xml:space="preserve"> 将“单位名称”与“科室名称”两个属性拼为单串“单位名称-科室名称”，且存量存在 71 条缺科室后缀的不规范值。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期限无结构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contracts.期限</w:t>
      </w:r>
      <w:r>
        <w:rPr>
          <w:rFonts w:ascii="Calibri" w:hAnsi="Calibri" w:eastAsia="微软雅黑"/>
          <w:b w:val="0"/>
          <w:color w:val="333333"/>
          <w:sz w:val="22"/>
        </w:rPr>
        <w:t xml:space="preserve"> 为自由文本，实测并存 </w:t>
      </w:r>
      <w:r>
        <w:rPr>
          <w:rFonts w:ascii="Consolas" w:hAnsi="Consolas" w:eastAsia="微软雅黑"/>
          <w:b w:val="0"/>
          <w:color w:val="333333"/>
          <w:sz w:val="21"/>
        </w:rPr>
        <w:t>2021.1.21-2022.1.30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2021年10月28日-2022年10月27日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自2022年03月04日至2022年03月07日止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质保期一年</w:t>
      </w:r>
      <w:r>
        <w:rPr>
          <w:rFonts w:ascii="Calibri" w:hAnsi="Calibri" w:eastAsia="微软雅黑"/>
          <w:b w:val="0"/>
          <w:color w:val="333333"/>
          <w:sz w:val="22"/>
        </w:rPr>
        <w:t xml:space="preserve"> 等 200+ 种写法，无法按起止日期查询、统计或校验。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子属性平铺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签证或变更情况</w:t>
      </w:r>
      <w:r>
        <w:rPr>
          <w:rFonts w:ascii="Calibri" w:hAnsi="Calibri" w:eastAsia="微软雅黑"/>
          <w:b w:val="0"/>
          <w:color w:val="333333"/>
          <w:sz w:val="22"/>
        </w:rPr>
        <w:t xml:space="preserve"> 依赖 </w:t>
      </w:r>
      <w:r>
        <w:rPr>
          <w:rFonts w:ascii="Consolas" w:hAnsi="Consolas" w:eastAsia="微软雅黑"/>
          <w:b w:val="0"/>
          <w:color w:val="333333"/>
          <w:sz w:val="21"/>
        </w:rPr>
        <w:t>是否有签证或变更</w:t>
      </w:r>
      <w:r>
        <w:rPr>
          <w:rFonts w:ascii="Calibri" w:hAnsi="Calibri" w:eastAsia="微软雅黑"/>
          <w:b w:val="0"/>
          <w:color w:val="333333"/>
          <w:sz w:val="22"/>
        </w:rPr>
        <w:t>（子属性放平表），且两列全库为空，属“结构预留但未启用”的死列。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3.2 第二、第三范式（2NF/3NF）违规——依赖与传递依赖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派生字段冗余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未支付</w:t>
      </w:r>
      <w:r>
        <w:rPr>
          <w:rFonts w:ascii="Calibri" w:hAnsi="Calibri" w:eastAsia="微软雅黑"/>
          <w:b w:val="0"/>
          <w:color w:val="333333"/>
          <w:sz w:val="22"/>
        </w:rPr>
        <w:t xml:space="preserve"> 可由“合同金额 − 已支付”推导（传递依赖），且与“结算金额、已支付”存在勾稽矛盾风险；现系统不得不在多处维护“优先取字段、为空则计算”的双口径。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字符串外键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contracts.所属部门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users.所属部门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users.分管部门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contracts.归档人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attachments.上传人</w:t>
      </w:r>
      <w:r>
        <w:rPr>
          <w:rFonts w:ascii="Calibri" w:hAnsi="Calibri" w:eastAsia="微软雅黑"/>
          <w:b w:val="0"/>
          <w:color w:val="333333"/>
          <w:sz w:val="22"/>
        </w:rPr>
        <w:t xml:space="preserve"> 均为对 departments/users 的“字符串外键”，无数据库约束保障，删除部门或用户可能产生悬空引用。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附件引用不稳定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attachments.合同编号</w:t>
      </w:r>
      <w:r>
        <w:rPr>
          <w:rFonts w:ascii="Calibri" w:hAnsi="Calibri" w:eastAsia="微软雅黑"/>
          <w:b w:val="0"/>
          <w:color w:val="333333"/>
          <w:sz w:val="22"/>
        </w:rPr>
        <w:t xml:space="preserve"> 逻辑关联 </w:t>
      </w:r>
      <w:r>
        <w:rPr>
          <w:rFonts w:ascii="Consolas" w:hAnsi="Consolas" w:eastAsia="微软雅黑"/>
          <w:b w:val="0"/>
          <w:color w:val="333333"/>
          <w:sz w:val="21"/>
        </w:rPr>
        <w:t>contracts.编号</w:t>
      </w:r>
      <w:r>
        <w:rPr>
          <w:rFonts w:ascii="Calibri" w:hAnsi="Calibri" w:eastAsia="微软雅黑"/>
          <w:b w:val="0"/>
          <w:color w:val="333333"/>
          <w:sz w:val="22"/>
        </w:rPr>
        <w:t>，合同编号一旦修改需应用层同步改附件（现有代码已实现该“手工维护引用完整性”逻辑），存在遗漏风险。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3.3 其他数据库设计规范问题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无约束兜底</w:t>
      </w:r>
      <w:r>
        <w:rPr>
          <w:rFonts w:ascii="Calibri" w:hAnsi="Calibri" w:eastAsia="微软雅黑"/>
          <w:b w:val="0"/>
          <w:color w:val="333333"/>
          <w:sz w:val="22"/>
        </w:rPr>
        <w:t>：全库无任何索引、外键、CHECK、NOT NULL；</w:t>
      </w:r>
      <w:r>
        <w:rPr>
          <w:rFonts w:ascii="Consolas" w:hAnsi="Consolas" w:eastAsia="微软雅黑"/>
          <w:b w:val="0"/>
          <w:color w:val="333333"/>
          <w:sz w:val="21"/>
        </w:rPr>
        <w:t>contracts.编号</w:t>
      </w:r>
      <w:r>
        <w:rPr>
          <w:rFonts w:ascii="Calibri" w:hAnsi="Calibri" w:eastAsia="微软雅黑"/>
          <w:b w:val="0"/>
          <w:color w:val="333333"/>
          <w:sz w:val="22"/>
        </w:rPr>
        <w:t xml:space="preserve"> 唯一性仅在应用层校验，绕过 API 写入即可能破坏；</w:t>
      </w:r>
      <w:r>
        <w:rPr>
          <w:rFonts w:ascii="Consolas" w:hAnsi="Consolas" w:eastAsia="微软雅黑"/>
          <w:b w:val="0"/>
          <w:color w:val="333333"/>
          <w:sz w:val="21"/>
        </w:rPr>
        <w:t>departments</w:t>
      </w:r>
      <w:r>
        <w:rPr>
          <w:rFonts w:ascii="Calibri" w:hAnsi="Calibri" w:eastAsia="微软雅黑"/>
          <w:b w:val="0"/>
          <w:color w:val="333333"/>
          <w:sz w:val="22"/>
        </w:rPr>
        <w:t xml:space="preserve"> 无主键。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中文列名入库</w:t>
      </w:r>
      <w:r>
        <w:rPr>
          <w:rFonts w:ascii="Calibri" w:hAnsi="Calibri" w:eastAsia="微软雅黑"/>
          <w:b w:val="0"/>
          <w:color w:val="333333"/>
          <w:sz w:val="22"/>
        </w:rPr>
        <w:t>：全部业务列名为中文（如“合同金额（万元）”），所有 SQL 需引号包裹，后续改名、SQL 化统计、第三方工具对接成本高。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类型不规范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attachments.文件大小</w:t>
      </w:r>
      <w:r>
        <w:rPr>
          <w:rFonts w:ascii="Calibri" w:hAnsi="Calibri" w:eastAsia="微软雅黑"/>
          <w:b w:val="0"/>
          <w:color w:val="333333"/>
          <w:sz w:val="22"/>
        </w:rPr>
        <w:t xml:space="preserve"> 存 TEXT（应为 INTEGER）；</w:t>
      </w:r>
      <w:r>
        <w:rPr>
          <w:rFonts w:ascii="Consolas" w:hAnsi="Consolas" w:eastAsia="微软雅黑"/>
          <w:b w:val="0"/>
          <w:color w:val="333333"/>
          <w:sz w:val="21"/>
        </w:rPr>
        <w:t>决策的招标控制价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合同金额（万元）</w:t>
      </w:r>
      <w:r>
        <w:rPr>
          <w:rFonts w:ascii="Calibri" w:hAnsi="Calibri" w:eastAsia="微软雅黑"/>
          <w:b w:val="0"/>
          <w:color w:val="333333"/>
          <w:sz w:val="22"/>
        </w:rPr>
        <w:t xml:space="preserve"> 等数值列部分历史值为文本（数据字典标注 43 条非数字）；日期列均为 TEXT 且格式混杂。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枚举无字典表</w:t>
      </w:r>
      <w:r>
        <w:rPr>
          <w:rFonts w:ascii="Calibri" w:hAnsi="Calibri" w:eastAsia="微软雅黑"/>
          <w:b w:val="0"/>
          <w:color w:val="333333"/>
          <w:sz w:val="22"/>
        </w:rPr>
        <w:t>：项目分类、采购方式、是否结算、资金来源等均无枚举字典表与约束，存量存在大量非标准写法。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无版本化迁移机制</w:t>
      </w:r>
      <w:r>
        <w:rPr>
          <w:rFonts w:ascii="Calibri" w:hAnsi="Calibri" w:eastAsia="微软雅黑"/>
          <w:b w:val="0"/>
          <w:color w:val="333333"/>
          <w:sz w:val="22"/>
        </w:rPr>
        <w:t xml:space="preserve">：无 schema 版本表，历史结构变更靠 </w:t>
      </w:r>
      <w:r>
        <w:rPr>
          <w:rFonts w:ascii="Consolas" w:hAnsi="Consolas" w:eastAsia="微软雅黑"/>
          <w:b w:val="0"/>
          <w:color w:val="333333"/>
          <w:sz w:val="21"/>
        </w:rPr>
        <w:t>init_db()</w:t>
      </w:r>
      <w:r>
        <w:rPr>
          <w:rFonts w:ascii="Calibri" w:hAnsi="Calibri" w:eastAsia="微软雅黑"/>
          <w:b w:val="0"/>
          <w:color w:val="333333"/>
          <w:sz w:val="22"/>
        </w:rPr>
        <w:t xml:space="preserve"> 内 ad-hoc </w:t>
      </w:r>
      <w:r>
        <w:rPr>
          <w:rFonts w:ascii="Consolas" w:hAnsi="Consolas" w:eastAsia="微软雅黑"/>
          <w:b w:val="0"/>
          <w:color w:val="333333"/>
          <w:sz w:val="21"/>
        </w:rPr>
        <w:t>ALTER TABLE</w:t>
      </w:r>
      <w:r>
        <w:rPr>
          <w:rFonts w:ascii="Calibri" w:hAnsi="Calibri" w:eastAsia="微软雅黑"/>
          <w:b w:val="0"/>
          <w:color w:val="333333"/>
          <w:sz w:val="22"/>
        </w:rPr>
        <w:t xml:space="preserve"> 拼装，不利于审计与回滚。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无记录级时间戳</w:t>
      </w:r>
      <w:r>
        <w:rPr>
          <w:rFonts w:ascii="Calibri" w:hAnsi="Calibri" w:eastAsia="微软雅黑"/>
          <w:b w:val="0"/>
          <w:color w:val="333333"/>
          <w:sz w:val="22"/>
        </w:rPr>
        <w:t>：业务表无 created_at/updated_at，记录变更只能依赖 operation_logs 审计。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四、修改建议（分三档）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4.1 档位 A：完整性规范化（建议必做，系统功能基本不动）</w:t>
      </w:r>
    </w:p>
    <w:p>
      <w:pPr>
        <w:pStyle w:val="ListBullet"/>
      </w:pPr>
      <w:r>
        <w:rPr>
          <w:rFonts w:ascii="Consolas" w:hAnsi="Consolas" w:eastAsia="微软雅黑"/>
          <w:b w:val="0"/>
          <w:color w:val="333333"/>
          <w:sz w:val="21"/>
        </w:rPr>
        <w:t>contracts.编号</w:t>
      </w:r>
      <w:r>
        <w:rPr>
          <w:rFonts w:ascii="Calibri" w:hAnsi="Calibri" w:eastAsia="微软雅黑"/>
          <w:b w:val="0"/>
          <w:color w:val="333333"/>
          <w:sz w:val="22"/>
        </w:rPr>
        <w:t xml:space="preserve"> 建 UNIQUE 索引；</w:t>
      </w:r>
      <w:r>
        <w:rPr>
          <w:rFonts w:ascii="Consolas" w:hAnsi="Consolas" w:eastAsia="微软雅黑"/>
          <w:b w:val="0"/>
          <w:color w:val="333333"/>
          <w:sz w:val="21"/>
        </w:rPr>
        <w:t>departments</w:t>
      </w:r>
      <w:r>
        <w:rPr>
          <w:rFonts w:ascii="Calibri" w:hAnsi="Calibri" w:eastAsia="微软雅黑"/>
          <w:b w:val="0"/>
          <w:color w:val="333333"/>
          <w:sz w:val="22"/>
        </w:rPr>
        <w:t xml:space="preserve"> 建复合主键（单位名称+科室名称）。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为 </w:t>
      </w:r>
      <w:r>
        <w:rPr>
          <w:rFonts w:ascii="Consolas" w:hAnsi="Consolas" w:eastAsia="微软雅黑"/>
          <w:b w:val="0"/>
          <w:color w:val="333333"/>
          <w:sz w:val="21"/>
        </w:rPr>
        <w:t>attachments→contracts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users→departments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contracts→departments</w:t>
      </w:r>
      <w:r>
        <w:rPr>
          <w:rFonts w:ascii="Calibri" w:hAnsi="Calibri" w:eastAsia="微软雅黑"/>
          <w:b w:val="0"/>
          <w:color w:val="333333"/>
          <w:sz w:val="22"/>
        </w:rPr>
        <w:t xml:space="preserve"> 建立外键（SQLite 需开启 </w:t>
      </w:r>
      <w:r>
        <w:rPr>
          <w:rFonts w:ascii="Consolas" w:hAnsi="Consolas" w:eastAsia="微软雅黑"/>
          <w:b w:val="0"/>
          <w:color w:val="333333"/>
          <w:sz w:val="21"/>
        </w:rPr>
        <w:t>PRAGMA foreign_keys</w:t>
      </w:r>
      <w:r>
        <w:rPr>
          <w:rFonts w:ascii="Calibri" w:hAnsi="Calibri" w:eastAsia="微软雅黑"/>
          <w:b w:val="0"/>
          <w:color w:val="333333"/>
          <w:sz w:val="22"/>
        </w:rPr>
        <w:t>，删除部门/用户前先校验引用）。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增加索引：</w:t>
      </w:r>
      <w:r>
        <w:rPr>
          <w:rFonts w:ascii="Consolas" w:hAnsi="Consolas" w:eastAsia="微软雅黑"/>
          <w:b w:val="0"/>
          <w:color w:val="333333"/>
          <w:sz w:val="21"/>
        </w:rPr>
        <w:t>编号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所属部门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经办人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采购时间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下次招采时间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是否归档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增加 CHECK 约束：金额 ≥ 0、日期格式统一、枚举白名单；增加 NOT NULL（必填字段）。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类型修正：</w:t>
      </w:r>
      <w:r>
        <w:rPr>
          <w:rFonts w:ascii="Consolas" w:hAnsi="Consolas" w:eastAsia="微软雅黑"/>
          <w:b w:val="0"/>
          <w:color w:val="333333"/>
          <w:sz w:val="21"/>
        </w:rPr>
        <w:t>文件大小</w:t>
      </w:r>
      <w:r>
        <w:rPr>
          <w:rFonts w:ascii="Calibri" w:hAnsi="Calibri" w:eastAsia="微软雅黑"/>
          <w:b w:val="0"/>
          <w:color w:val="333333"/>
          <w:sz w:val="22"/>
        </w:rPr>
        <w:t xml:space="preserve"> 改 INTEGER；日期列统一 </w:t>
      </w:r>
      <w:r>
        <w:rPr>
          <w:rFonts w:ascii="Consolas" w:hAnsi="Consolas" w:eastAsia="微软雅黑"/>
          <w:b w:val="0"/>
          <w:color w:val="333333"/>
          <w:sz w:val="21"/>
        </w:rPr>
        <w:t>YYYY-MM-DD</w:t>
      </w:r>
      <w:r>
        <w:rPr>
          <w:rFonts w:ascii="Calibri" w:hAnsi="Calibri" w:eastAsia="微软雅黑"/>
          <w:b w:val="0"/>
          <w:color w:val="333333"/>
          <w:sz w:val="22"/>
        </w:rPr>
        <w:t xml:space="preserve"> 并清洗存量。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新建 </w:t>
      </w:r>
      <w:r>
        <w:rPr>
          <w:rFonts w:ascii="Consolas" w:hAnsi="Consolas" w:eastAsia="微软雅黑"/>
          <w:b w:val="0"/>
          <w:color w:val="333333"/>
          <w:sz w:val="21"/>
        </w:rPr>
        <w:t>schema_version</w:t>
      </w:r>
      <w:r>
        <w:rPr>
          <w:rFonts w:ascii="Calibri" w:hAnsi="Calibri" w:eastAsia="微软雅黑"/>
          <w:b w:val="0"/>
          <w:color w:val="333333"/>
          <w:sz w:val="22"/>
        </w:rPr>
        <w:t xml:space="preserve"> 表，迁移脚本化、幂等化。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枚举清洗：按《数据字典表》标准值清洗存量非标准值（需业务确认映射，113/409/12 条）。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4.2 档位 B：结构规范化（建议按需，约一半功能需适配）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部门拆表</w:t>
      </w:r>
      <w:r>
        <w:rPr>
          <w:rFonts w:ascii="Calibri" w:hAnsi="Calibri" w:eastAsia="微软雅黑"/>
          <w:b w:val="0"/>
          <w:color w:val="333333"/>
          <w:sz w:val="22"/>
        </w:rPr>
        <w:t xml:space="preserve">：contracts/users 改存 </w:t>
      </w:r>
      <w:r>
        <w:rPr>
          <w:rFonts w:ascii="Consolas" w:hAnsi="Consolas" w:eastAsia="微软雅黑"/>
          <w:b w:val="0"/>
          <w:color w:val="333333"/>
          <w:sz w:val="21"/>
        </w:rPr>
        <w:t>department_id</w:t>
      </w:r>
      <w:r>
        <w:rPr>
          <w:rFonts w:ascii="Calibri" w:hAnsi="Calibri" w:eastAsia="微软雅黑"/>
          <w:b w:val="0"/>
          <w:color w:val="333333"/>
          <w:sz w:val="22"/>
        </w:rPr>
        <w:t xml:space="preserve"> 外键，显示名由 departments 拼接生成。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多值拆表</w:t>
      </w:r>
      <w:r>
        <w:rPr>
          <w:rFonts w:ascii="Calibri" w:hAnsi="Calibri" w:eastAsia="微软雅黑"/>
          <w:b w:val="0"/>
          <w:color w:val="333333"/>
          <w:sz w:val="22"/>
        </w:rPr>
        <w:t xml:space="preserve">：新建 </w:t>
      </w:r>
      <w:r>
        <w:rPr>
          <w:rFonts w:ascii="Consolas" w:hAnsi="Consolas" w:eastAsia="微软雅黑"/>
          <w:b w:val="0"/>
          <w:color w:val="333333"/>
          <w:sz w:val="21"/>
        </w:rPr>
        <w:t>contract_handlers(合同, 经办人)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user_managed_depts(用户, 部门)</w:t>
      </w:r>
      <w:r>
        <w:rPr>
          <w:rFonts w:ascii="Calibri" w:hAnsi="Calibri" w:eastAsia="微软雅黑"/>
          <w:b w:val="0"/>
          <w:color w:val="333333"/>
          <w:sz w:val="22"/>
        </w:rPr>
        <w:t xml:space="preserve"> 关联表，替换 </w:t>
      </w:r>
      <w:r>
        <w:rPr>
          <w:rFonts w:ascii="Consolas" w:hAnsi="Consolas" w:eastAsia="微软雅黑"/>
          <w:b w:val="0"/>
          <w:color w:val="333333"/>
          <w:sz w:val="21"/>
        </w:rPr>
        <w:t>_split_names()</w:t>
      </w:r>
      <w:r>
        <w:rPr>
          <w:rFonts w:ascii="Calibri" w:hAnsi="Calibri" w:eastAsia="微软雅黑"/>
          <w:b w:val="0"/>
          <w:color w:val="333333"/>
          <w:sz w:val="22"/>
        </w:rPr>
        <w:t>/</w:t>
      </w:r>
      <w:r>
        <w:rPr>
          <w:rFonts w:ascii="Consolas" w:hAnsi="Consolas" w:eastAsia="微软雅黑"/>
          <w:b w:val="0"/>
          <w:color w:val="333333"/>
          <w:sz w:val="21"/>
        </w:rPr>
        <w:t>norm_managed()</w:t>
      </w:r>
      <w:r>
        <w:rPr>
          <w:rFonts w:ascii="Calibri" w:hAnsi="Calibri" w:eastAsia="微软雅黑"/>
          <w:b w:val="0"/>
          <w:color w:val="333333"/>
          <w:sz w:val="22"/>
        </w:rPr>
        <w:t xml:space="preserve"> 内存拆解逻辑。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期限拆列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期限</w:t>
      </w:r>
      <w:r>
        <w:rPr>
          <w:rFonts w:ascii="Calibri" w:hAnsi="Calibri" w:eastAsia="微软雅黑"/>
          <w:b w:val="0"/>
          <w:color w:val="333333"/>
          <w:sz w:val="22"/>
        </w:rPr>
        <w:t xml:space="preserve"> 拆为 </w:t>
      </w:r>
      <w:r>
        <w:rPr>
          <w:rFonts w:ascii="Consolas" w:hAnsi="Consolas" w:eastAsia="微软雅黑"/>
          <w:b w:val="0"/>
          <w:color w:val="333333"/>
          <w:sz w:val="21"/>
        </w:rPr>
        <w:t>开始日期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结束日期</w:t>
      </w:r>
      <w:r>
        <w:rPr>
          <w:rFonts w:ascii="Calibri" w:hAnsi="Calibri" w:eastAsia="微软雅黑"/>
          <w:b w:val="0"/>
          <w:color w:val="333333"/>
          <w:sz w:val="22"/>
        </w:rPr>
        <w:t xml:space="preserve"> 两列，存量 200+ 写法需智能解析或人工确认。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派生字段</w:t>
      </w:r>
      <w:r>
        <w:rPr>
          <w:rFonts w:ascii="Calibri" w:hAnsi="Calibri" w:eastAsia="微软雅黑"/>
          <w:b w:val="0"/>
          <w:color w:val="333333"/>
          <w:sz w:val="22"/>
        </w:rPr>
        <w:t xml:space="preserve">：建议 </w:t>
      </w:r>
      <w:r>
        <w:rPr>
          <w:rFonts w:ascii="Consolas" w:hAnsi="Consolas" w:eastAsia="微软雅黑"/>
          <w:b w:val="0"/>
          <w:color w:val="333333"/>
          <w:sz w:val="21"/>
        </w:rPr>
        <w:t>未支付</w:t>
      </w:r>
      <w:r>
        <w:rPr>
          <w:rFonts w:ascii="Calibri" w:hAnsi="Calibri" w:eastAsia="微软雅黑"/>
          <w:b w:val="0"/>
          <w:color w:val="333333"/>
          <w:sz w:val="22"/>
        </w:rPr>
        <w:t xml:space="preserve"> 改为视图或统一计算口径（涉及首页卡片、待支付提醒、统计三处），或保留列 + 触发器保证一致性。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4.3 档位 C：深度规范化（量力而行，当前数据量不建议全做）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列名英文化（如 </w:t>
      </w:r>
      <w:r>
        <w:rPr>
          <w:rFonts w:ascii="Consolas" w:hAnsi="Consolas" w:eastAsia="微软雅黑"/>
          <w:b w:val="0"/>
          <w:color w:val="333333"/>
          <w:sz w:val="21"/>
        </w:rPr>
        <w:t>contract_no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contract_amount</w:t>
      </w:r>
      <w:r>
        <w:rPr>
          <w:rFonts w:ascii="Calibri" w:hAnsi="Calibri" w:eastAsia="微软雅黑"/>
          <w:b w:val="0"/>
          <w:color w:val="333333"/>
          <w:sz w:val="22"/>
        </w:rPr>
        <w:t xml:space="preserve">），建立“英文标识 ↔ 中文显示名”映射层，替换 </w:t>
      </w:r>
      <w:r>
        <w:rPr>
          <w:rFonts w:ascii="Consolas" w:hAnsi="Consolas" w:eastAsia="微软雅黑"/>
          <w:b w:val="0"/>
          <w:color w:val="333333"/>
          <w:sz w:val="21"/>
        </w:rPr>
        <w:t>CONTRACT_COLUMNS</w:t>
      </w:r>
      <w:r>
        <w:rPr>
          <w:rFonts w:ascii="Calibri" w:hAnsi="Calibri" w:eastAsia="微软雅黑"/>
          <w:b w:val="0"/>
          <w:color w:val="333333"/>
          <w:sz w:val="22"/>
        </w:rPr>
        <w:t>/</w:t>
      </w:r>
      <w:r>
        <w:rPr>
          <w:rFonts w:ascii="Consolas" w:hAnsi="Consolas" w:eastAsia="微软雅黑"/>
          <w:b w:val="0"/>
          <w:color w:val="333333"/>
          <w:sz w:val="21"/>
        </w:rPr>
        <w:t>c2r</w:t>
      </w:r>
      <w:r>
        <w:rPr>
          <w:rFonts w:ascii="Calibri" w:hAnsi="Calibri" w:eastAsia="微软雅黑"/>
          <w:b w:val="0"/>
          <w:color w:val="333333"/>
          <w:sz w:val="22"/>
        </w:rPr>
        <w:t>/</w:t>
      </w:r>
      <w:r>
        <w:rPr>
          <w:rFonts w:ascii="Consolas" w:hAnsi="Consolas" w:eastAsia="微软雅黑"/>
          <w:b w:val="0"/>
          <w:color w:val="333333"/>
          <w:sz w:val="21"/>
        </w:rPr>
        <w:t>fm</w:t>
      </w:r>
      <w:r>
        <w:rPr>
          <w:rFonts w:ascii="Calibri" w:hAnsi="Calibri" w:eastAsia="微软雅黑"/>
          <w:b w:val="0"/>
          <w:color w:val="333333"/>
          <w:sz w:val="22"/>
        </w:rPr>
        <w:t xml:space="preserve"> 三处核心映射。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建枚举字典表（项目分类/采购方式/资金来源/附件类型/操作类型…）、支付流水表（替代“已支付/未支付/结算金额”平铺）、归档历史表。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权限模型表化（角色-权限表）；统计下推 SQL 层；引入 DAO/ORM 层收敛散落的 </w:t>
      </w:r>
      <w:r>
        <w:rPr>
          <w:rFonts w:ascii="Consolas" w:hAnsi="Consolas" w:eastAsia="微软雅黑"/>
          <w:b w:val="0"/>
          <w:color w:val="333333"/>
          <w:sz w:val="21"/>
        </w:rPr>
        <w:t>db_query</w:t>
      </w:r>
      <w:r>
        <w:rPr>
          <w:rFonts w:ascii="Calibri" w:hAnsi="Calibri" w:eastAsia="微软雅黑"/>
          <w:b w:val="0"/>
          <w:color w:val="333333"/>
          <w:sz w:val="22"/>
        </w:rPr>
        <w:t xml:space="preserve"> 调用。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五、改造工作量评估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以单机 639 行合同、后端 </w:t>
      </w:r>
      <w:r>
        <w:rPr>
          <w:rFonts w:ascii="Consolas" w:hAnsi="Consolas" w:eastAsia="微软雅黑"/>
          <w:b w:val="0"/>
          <w:color w:val="333333"/>
          <w:sz w:val="21"/>
        </w:rPr>
        <w:t>app.py</w:t>
      </w:r>
      <w:r>
        <w:rPr>
          <w:rFonts w:ascii="Calibri" w:hAnsi="Calibri" w:eastAsia="微软雅黑"/>
          <w:b w:val="0"/>
          <w:color w:val="333333"/>
          <w:sz w:val="22"/>
        </w:rPr>
        <w:t xml:space="preserve"> 1605 行/36 路由、前端 </w:t>
      </w:r>
      <w:r>
        <w:rPr>
          <w:rFonts w:ascii="Consolas" w:hAnsi="Consolas" w:eastAsia="微软雅黑"/>
          <w:b w:val="0"/>
          <w:color w:val="333333"/>
          <w:sz w:val="21"/>
        </w:rPr>
        <w:t>index.html</w:t>
      </w:r>
      <w:r>
        <w:rPr>
          <w:rFonts w:ascii="Calibri" w:hAnsi="Calibri" w:eastAsia="微软雅黑"/>
          <w:b w:val="0"/>
          <w:color w:val="333333"/>
          <w:sz w:val="22"/>
        </w:rPr>
        <w:t xml:space="preserve"> 1607 行单页应用为前提，按模块估算（人天）：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3032"/>
        <w:gridCol w:w="1733"/>
        <w:gridCol w:w="1841"/>
        <w:gridCol w:w="3032"/>
      </w:tblGrid>
      <w:tr>
        <w:tc>
          <w:tcPr>
            <w:tcW w:type="dxa" w:w="303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模块</w:t>
            </w:r>
          </w:p>
        </w:tc>
        <w:tc>
          <w:tcPr>
            <w:tcW w:type="dxa" w:w="173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档位 A</w:t>
            </w:r>
          </w:p>
        </w:tc>
        <w:tc>
          <w:tcPr>
            <w:tcW w:type="dxa" w:w="184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档位 B</w:t>
            </w:r>
          </w:p>
        </w:tc>
        <w:tc>
          <w:tcPr>
            <w:tcW w:type="dxa" w:w="303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主要改动说明</w:t>
            </w:r>
          </w:p>
        </w:tc>
      </w:tr>
      <w:tr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迁移脚本与存量数据清洗</w:t>
            </w:r>
          </w:p>
        </w:tc>
        <w:tc>
          <w:tcPr>
            <w:tcW w:type="dxa" w:w="17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2–3</w:t>
            </w:r>
          </w:p>
        </w:tc>
        <w:tc>
          <w:tcPr>
            <w:tcW w:type="dxa" w:w="184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3–5</w:t>
            </w:r>
          </w:p>
        </w:tc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约束建立、枚举清洗、期限/部门拆分解析、回滚方案</w:t>
            </w:r>
          </w:p>
        </w:tc>
      </w:tr>
      <w:tr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后端数据读写层</w:t>
            </w:r>
          </w:p>
        </w:tc>
        <w:tc>
          <w:tcPr>
            <w:tcW w:type="dxa" w:w="17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0.5–1</w:t>
            </w:r>
          </w:p>
        </w:tc>
        <w:tc>
          <w:tcPr>
            <w:tcW w:type="dxa" w:w="184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2–4</w:t>
            </w:r>
          </w:p>
        </w:tc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read_contracts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c2r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fm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upd_row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app_row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映射改造</w:t>
            </w:r>
          </w:p>
        </w:tc>
      </w:tr>
      <w:tr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后端 API（增删改查/导入导出/统计/提醒/待支付/权限/附件）</w:t>
            </w:r>
          </w:p>
        </w:tc>
        <w:tc>
          <w:tcPr>
            <w:tcW w:type="dxa" w:w="17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0.5–1</w:t>
            </w:r>
          </w:p>
        </w:tc>
        <w:tc>
          <w:tcPr>
            <w:tcW w:type="dxa" w:w="184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4–6</w:t>
            </w:r>
          </w:p>
        </w:tc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部门、经办人、派生金额口径全链路适配</w:t>
            </w:r>
          </w:p>
        </w:tc>
      </w:tr>
      <w:tr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前端（表单/列表/搜索/统计/导入预览/打印）</w:t>
            </w:r>
          </w:p>
        </w:tc>
        <w:tc>
          <w:tcPr>
            <w:tcW w:type="dxa" w:w="17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0.5</w:t>
            </w:r>
          </w:p>
        </w:tc>
        <w:tc>
          <w:tcPr>
            <w:tcW w:type="dxa" w:w="184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4–6</w:t>
            </w:r>
          </w:p>
        </w:tc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contractForm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与各视图绑定改造</w:t>
            </w:r>
          </w:p>
        </w:tc>
      </w:tr>
      <w:tr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Excel 模板/导出/导入校验</w:t>
            </w:r>
          </w:p>
        </w:tc>
        <w:tc>
          <w:tcPr>
            <w:tcW w:type="dxa" w:w="17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0.5–1</w:t>
            </w:r>
          </w:p>
        </w:tc>
        <w:tc>
          <w:tcPr>
            <w:tcW w:type="dxa" w:w="184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1–2</w:t>
            </w:r>
          </w:p>
        </w:tc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列映射与枚举校验适配</w:t>
            </w:r>
          </w:p>
        </w:tc>
      </w:tr>
      <w:tr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备份/恢复/日志兼容</w:t>
            </w:r>
          </w:p>
        </w:tc>
        <w:tc>
          <w:tcPr>
            <w:tcW w:type="dxa" w:w="17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0.5</w:t>
            </w:r>
          </w:p>
        </w:tc>
        <w:tc>
          <w:tcPr>
            <w:tcW w:type="dxa" w:w="184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0.5–1</w:t>
            </w:r>
          </w:p>
        </w:tc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整库文件备份方案基本不受影响</w:t>
            </w:r>
          </w:p>
        </w:tc>
      </w:tr>
      <w:tr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全功能回归（3 角色、导入导出往返、提醒、统计、打印）</w:t>
            </w:r>
          </w:p>
        </w:tc>
        <w:tc>
          <w:tcPr>
            <w:tcW w:type="dxa" w:w="17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1–2</w:t>
            </w:r>
          </w:p>
        </w:tc>
        <w:tc>
          <w:tcPr>
            <w:tcW w:type="dxa" w:w="184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2–4</w:t>
            </w:r>
          </w:p>
        </w:tc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口径一致性重点回归</w:t>
            </w:r>
          </w:p>
        </w:tc>
      </w:tr>
      <w:tr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文档同步（数据字典/开发文档/操作手册）</w:t>
            </w:r>
          </w:p>
        </w:tc>
        <w:tc>
          <w:tcPr>
            <w:tcW w:type="dxa" w:w="17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0.5–1</w:t>
            </w:r>
          </w:p>
        </w:tc>
        <w:tc>
          <w:tcPr>
            <w:tcW w:type="dxa" w:w="184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1–2</w:t>
            </w:r>
          </w:p>
        </w:tc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合计</w:t>
            </w:r>
          </w:p>
        </w:tc>
        <w:tc>
          <w:tcPr>
            <w:tcW w:type="dxa" w:w="17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约 6–10 人天</w:t>
            </w:r>
          </w:p>
        </w:tc>
        <w:tc>
          <w:tcPr>
            <w:tcW w:type="dxa" w:w="184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约 17–30 人天</w:t>
            </w:r>
          </w:p>
        </w:tc>
        <w:tc>
          <w:tcPr>
            <w:tcW w:type="dxa" w:w="303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档位 C 另需 15–25 人天，总计可达 30–50 人天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5.1 主要风险点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编号双重身份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编号</w:t>
      </w:r>
      <w:r>
        <w:rPr>
          <w:rFonts w:ascii="Calibri" w:hAnsi="Calibri" w:eastAsia="微软雅黑"/>
          <w:b w:val="0"/>
          <w:color w:val="333333"/>
          <w:sz w:val="22"/>
        </w:rPr>
        <w:t xml:space="preserve"> 既是业务唯一键，又是附件关联键；拆表或加约束前需冻结“改编号”逻辑，避免悬空附件。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未支付口径</w:t>
      </w:r>
      <w:r>
        <w:rPr>
          <w:rFonts w:ascii="Calibri" w:hAnsi="Calibri" w:eastAsia="微软雅黑"/>
          <w:b w:val="0"/>
          <w:color w:val="333333"/>
          <w:sz w:val="22"/>
        </w:rPr>
        <w:t xml:space="preserve">：删除或调整 </w:t>
      </w:r>
      <w:r>
        <w:rPr>
          <w:rFonts w:ascii="Consolas" w:hAnsi="Consolas" w:eastAsia="微软雅黑"/>
          <w:b w:val="0"/>
          <w:color w:val="333333"/>
          <w:sz w:val="21"/>
        </w:rPr>
        <w:t>未支付</w:t>
      </w:r>
      <w:r>
        <w:rPr>
          <w:rFonts w:ascii="Calibri" w:hAnsi="Calibri" w:eastAsia="微软雅黑"/>
          <w:b w:val="0"/>
          <w:color w:val="333333"/>
          <w:sz w:val="22"/>
        </w:rPr>
        <w:t xml:space="preserve"> 会波及首页卡片、待支付提醒、统计三处，必须先统一口径再动数据。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枚举标准化依赖业务</w:t>
      </w:r>
      <w:r>
        <w:rPr>
          <w:rFonts w:ascii="Calibri" w:hAnsi="Calibri" w:eastAsia="微软雅黑"/>
          <w:b w:val="0"/>
          <w:color w:val="333333"/>
          <w:sz w:val="22"/>
        </w:rPr>
        <w:t>：113/409/12 条非标准值需业务确认映射，属数据治理问题而非纯技术问题，耗时不可压缩。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部门字符串引用点多</w:t>
      </w:r>
      <w:r>
        <w:rPr>
          <w:rFonts w:ascii="Calibri" w:hAnsi="Calibri" w:eastAsia="微软雅黑"/>
          <w:b w:val="0"/>
          <w:color w:val="333333"/>
          <w:sz w:val="22"/>
        </w:rPr>
        <w:t>：“单位名称-科室名称”字符串在合同、用户、分管部门、部门管理、登录注入等多处拼接/解析，拆表需全链路排查。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5.2 实施建议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按 </w:t>
      </w:r>
      <w:r>
        <w:rPr>
          <w:rFonts w:ascii="Calibri" w:hAnsi="Calibri" w:eastAsia="微软雅黑"/>
          <w:b/>
          <w:color w:val="333333"/>
          <w:sz w:val="22"/>
        </w:rPr>
        <w:t>A → B → C</w:t>
      </w:r>
      <w:r>
        <w:rPr>
          <w:rFonts w:ascii="Calibri" w:hAnsi="Calibri" w:eastAsia="微软雅黑"/>
          <w:b w:val="0"/>
          <w:color w:val="333333"/>
          <w:sz w:val="22"/>
        </w:rPr>
        <w:t xml:space="preserve"> 分期实施：先补约束与索引（低风险、可随时回滚），再按模块灰度拆分结构，每期独立回归。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每期迁移前执行整库备份（现有 </w:t>
      </w:r>
      <w:r>
        <w:rPr>
          <w:rFonts w:ascii="Consolas" w:hAnsi="Consolas" w:eastAsia="微软雅黑"/>
          <w:b w:val="0"/>
          <w:color w:val="333333"/>
          <w:sz w:val="21"/>
        </w:rPr>
        <w:t>backups/</w:t>
      </w:r>
      <w:r>
        <w:rPr>
          <w:rFonts w:ascii="Calibri" w:hAnsi="Calibri" w:eastAsia="微软雅黑"/>
          <w:b w:val="0"/>
          <w:color w:val="333333"/>
          <w:sz w:val="22"/>
        </w:rPr>
        <w:t xml:space="preserve"> 机制可直接复用），并准备回滚 SQL。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建议以“数据口径一致性”（未支付/待支付/统计）为回归验收重点。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六、结论</w:t>
      </w:r>
    </w:p>
    <w:p>
      <w:r>
        <w:rPr>
          <w:rFonts w:ascii="Calibri" w:hAnsi="Calibri" w:eastAsia="微软雅黑"/>
          <w:b w:val="0"/>
          <w:color w:val="333333"/>
          <w:sz w:val="22"/>
        </w:rPr>
        <w:t>当前系统在“业务可用”层面无性能问题（639 行全内存处理足够），但数据库设计整体停留在“Excel 电子表格直存”形态：无约束、无外键、无索引，多值字段、复合属性、自由文本与派生冗余并存。从数据库设计规范角度评价，</w:t>
      </w:r>
      <w:r>
        <w:rPr>
          <w:rFonts w:ascii="Calibri" w:hAnsi="Calibri" w:eastAsia="微软雅黑"/>
          <w:b/>
          <w:color w:val="333333"/>
          <w:sz w:val="22"/>
        </w:rPr>
        <w:t>未达到第二范式，第一范式亦不完整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r>
        <w:rPr>
          <w:rFonts w:ascii="Calibri" w:hAnsi="Calibri" w:eastAsia="微软雅黑"/>
          <w:b w:val="0"/>
          <w:color w:val="333333"/>
          <w:sz w:val="22"/>
        </w:rPr>
        <w:t>建议优先实施档位 A（完整性规范化，约 6–10 人天），以最低成本补齐约束与数据质量底线；档位 B 按业务需要分期推进；档位 C 在当前数据规模下不建议全量实施，可视后续数据量与查询复杂度再行评估。</w:t>
      </w:r>
    </w:p>
    <w:p>
      <w:r>
        <w:rPr>
          <w:rFonts w:ascii="Calibri" w:hAnsi="Calibri" w:eastAsia="微软雅黑"/>
          <w:b w:val="0"/>
          <w:i/>
          <w:color w:val="333333"/>
          <w:sz w:val="22"/>
        </w:rPr>
        <w:t>本报告仅作评估与规划依据。如需实施，请另行立项并按档位拆解任务；实施前应进行数据备份与业务确认。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666666"/>
        <w:sz w:val="18"/>
      </w:rPr>
      <w:t xml:space="preserve">第 </w:t>
    </w:r>
    <w:r>
      <w:rPr>
        <w:rFonts w:ascii="Calibri" w:hAnsi="Calibri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7"/>
      </w:rPr>
      <w:t>“潭合同”台账管理系统 · 数据库规范化评估报告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《数据库规范化评估报告》</dc:title>
  <dc:subject/>
  <dc:creator>湘潭市机关事务管理局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