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/>
        <w:jc w:val="center"/>
      </w:pPr>
      <w:r>
        <w:rPr>
          <w:rFonts w:ascii="Calibri" w:hAnsi="Calibri" w:eastAsia="微软雅黑"/>
          <w:b/>
          <w:color w:val="1F4D78"/>
          <w:sz w:val="44"/>
        </w:rPr>
        <w:t>“潭合同”台账管理系统</w:t>
      </w:r>
    </w:p>
    <w:p>
      <w:pPr>
        <w:spacing w:after="200"/>
        <w:jc w:val="center"/>
      </w:pPr>
      <w:r>
        <w:rPr>
          <w:rFonts w:ascii="Calibri" w:hAnsi="Calibri" w:eastAsia="微软雅黑"/>
          <w:b/>
          <w:color w:val="2E74B5"/>
          <w:sz w:val="32"/>
        </w:rPr>
        <w:t>系统功能评审与改进建议</w:t>
      </w:r>
    </w:p>
    <w:p>
      <w:pPr>
        <w:spacing w:after="40"/>
        <w:jc w:val="center"/>
      </w:pPr>
      <w:r>
        <w:rPr>
          <w:rFonts w:ascii="Calibri" w:hAnsi="Calibri" w:eastAsia="微软雅黑"/>
          <w:b w:val="0"/>
          <w:color w:val="666666"/>
          <w:sz w:val="21"/>
        </w:rPr>
        <w:t>评审角色：合同管理科负责人</w:t>
      </w:r>
    </w:p>
    <w:p>
      <w:pPr>
        <w:spacing w:after="40"/>
        <w:jc w:val="center"/>
      </w:pPr>
      <w:r>
        <w:rPr>
          <w:rFonts w:ascii="Calibri" w:hAnsi="Calibri" w:eastAsia="微软雅黑"/>
          <w:b w:val="0"/>
          <w:color w:val="666666"/>
          <w:sz w:val="21"/>
        </w:rPr>
        <w:t>评审对象：“潭合同”台账管理系统（V1.0）</w:t>
      </w:r>
    </w:p>
    <w:p>
      <w:pPr>
        <w:spacing w:after="40"/>
        <w:jc w:val="center"/>
      </w:pPr>
      <w:r>
        <w:rPr>
          <w:rFonts w:ascii="Calibri" w:hAnsi="Calibri" w:eastAsia="微软雅黑"/>
          <w:b w:val="0"/>
          <w:color w:val="666666"/>
          <w:sz w:val="21"/>
        </w:rPr>
        <w:t>评审日期：2026-08-16</w:t>
      </w:r>
    </w:p>
    <w:p>
      <w:pPr>
        <w:spacing w:after="40"/>
        <w:jc w:val="center"/>
      </w:pPr>
      <w:r>
        <w:rPr>
          <w:rFonts w:ascii="Calibri" w:hAnsi="Calibri" w:eastAsia="微软雅黑"/>
          <w:b w:val="0"/>
          <w:color w:val="666666"/>
          <w:sz w:val="21"/>
        </w:rPr>
        <w:t>文档版本：V1.1（修订版）</w:t>
      </w:r>
    </w:p>
    <w:p>
      <w:pPr>
        <w:spacing w:after="40"/>
        <w:jc w:val="center"/>
      </w:pPr>
      <w:r>
        <w:rPr>
          <w:rFonts w:ascii="Calibri" w:hAnsi="Calibri" w:eastAsia="微软雅黑"/>
          <w:b w:val="0"/>
          <w:color w:val="666666"/>
          <w:sz w:val="21"/>
        </w:rPr>
        <w:t>文档修订：2026-08-18，补充实施说明与状态跟踪；方案细则见《系统功能提升实施方案》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一、评审说明</w:t>
      </w:r>
    </w:p>
    <w:p>
      <w:r>
        <w:rPr>
          <w:rFonts w:ascii="Calibri" w:hAnsi="Calibri" w:eastAsia="微软雅黑"/>
          <w:b w:val="0"/>
          <w:color w:val="333333"/>
          <w:sz w:val="22"/>
        </w:rPr>
        <w:t>本次评审立足合同管理科日常管理需要，对照《合同台账管理系统需求规格说明书（V3.1）》，结合系统当前实际功能逐项核对，并提出增减与调整建议。评审范围覆盖系统全部功能模块：登录认证、合同台账、查询统计、到期提醒、用户与部门管理、日志审计、系统设置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总体结论：系统核心需求已全部实现，且超出原始需求完成了附件管理、Excel 导入、合同归档、分管部门授权、日志审计、数据字典、操作手册等扩展功能，可满足合同台账管理的基本要求；主要差距集中在合同全生命周期管理、财务勾稽校验、提醒主动触达与安全加固方面，建议按本报告优先级逐步完善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二、总体评价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核心业务闭环完整：合同从新增、查询、统计、导出、归档到提醒的全流程可用，界面蓝色科技风格统一，操作体验良好。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权限模型合理：管理员全量可见，普通用户与查询用户按“本部门加分管部门”统一过滤列表、提醒、统计与导出，口径一致。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数据基础扎实：数据字典、用户操作手册、第三方许可清单已配套，具备交付与审计条件。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存在的差距：缺少合同状态管理、财务金额勾稽校验、删除复核留痕与主动提醒触达；安全方面密码存储与登录防护可进一步加固。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三、已满足需求核对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608"/>
        <w:gridCol w:w="1814"/>
        <w:gridCol w:w="5216"/>
      </w:tblGrid>
      <w:tr>
        <w:tc>
          <w:tcPr>
            <w:tcW w:type="dxa" w:w="260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功能模块</w:t>
            </w:r>
          </w:p>
        </w:tc>
        <w:tc>
          <w:tcPr>
            <w:tcW w:type="dxa" w:w="181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状态</w:t>
            </w:r>
          </w:p>
        </w:tc>
        <w:tc>
          <w:tcPr>
            <w:tcW w:type="dxa" w:w="521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登录认证与角色权限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已满足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管理员、普通用户、查询用户三级角色，登录即校验权限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合同台账维护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已满足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29 列字段增删改查，所属部门自动注入，编号唯一性校验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合同查询筛选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已满足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多条件组合筛选、分页（20/50 条）、详情查看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统计与图表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已满足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按部门、经办人、时间、分类统计，柱状图、饼图、折线图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数据导出与导入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已满足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查询结果导出 xlsx，支持 Excel 批量导入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到期提醒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已满足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下次招采时间减去提醒天数，全局默认 60 天可配置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首页仪表板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已满足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五张统计卡片：总合同数、总合同额、已/将到期合同数、待支付项目数、待支付总金额（数据范围按角色过滤）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用户管理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已满足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用户增删改、重置密码、分管部门授权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部门管理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已满足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部门组合维护，删除前校验关联用户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日志审计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已满足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分级查看、筛选、管理员导出，保留天数可配置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合同归档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已满足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归档后只读，所有用户仅可浏览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附件管理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已满足（扩展）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决策依据、合同、验收结算三类附件上传下载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系统设置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已满足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默认提醒天数、日志保留天数可配置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四、建议新增功能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（一）高优先级：直接影响业务合规与风险防控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增加“合同状态”字段</w:t>
      </w:r>
      <w:r>
        <w:rPr>
          <w:rFonts w:ascii="Calibri" w:hAnsi="Calibri" w:eastAsia="微软雅黑"/>
          <w:b w:val="0"/>
          <w:color w:val="333333"/>
          <w:sz w:val="22"/>
        </w:rPr>
        <w:t>：建议状态为拟签、执行中、已完工、已结算、已终止、已归档，替代当前分散的“是否结算加归档状态”标志，由状态驱动统计口径与编辑权限，避免口径混乱。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增加财务勾稽校验</w:t>
      </w:r>
      <w:r>
        <w:rPr>
          <w:rFonts w:ascii="Calibri" w:hAnsi="Calibri" w:eastAsia="微软雅黑"/>
          <w:b w:val="0"/>
          <w:color w:val="333333"/>
          <w:sz w:val="22"/>
        </w:rPr>
        <w:t>：未支付金额自动按“结算金额减已支付”计算或提交校验；合同金额必须大于 0；日期逻辑校验（完工时间不得早于开工时间、下次招采时间应晚于当前日期），防止手工数据矛盾。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删除与修改复核留痕</w:t>
      </w:r>
      <w:r>
        <w:rPr>
          <w:rFonts w:ascii="Calibri" w:hAnsi="Calibri" w:eastAsia="微软雅黑"/>
          <w:b w:val="0"/>
          <w:color w:val="333333"/>
          <w:sz w:val="22"/>
        </w:rPr>
        <w:t>：删除、归档、清空下次招采时间等敏感操作除二次确认外，强制填写操作原因并记录到日志，满足经办与审批分离的机关管理要求。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提醒主动触达</w:t>
      </w:r>
      <w:r>
        <w:rPr>
          <w:rFonts w:ascii="Calibri" w:hAnsi="Calibri" w:eastAsia="微软雅黑"/>
          <w:b w:val="0"/>
          <w:color w:val="333333"/>
          <w:sz w:val="22"/>
        </w:rPr>
        <w:t>：当前提醒仅登录时实时计算，用户不上线即无法感知。建议首页增加“逾期未处理合同”列表，提醒支持“推迟 7/15/30 天”，远期可对接短信或邮件通知。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（二）中优先级：提升管理效率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统计维度增强</w:t>
      </w:r>
      <w:r>
        <w:rPr>
          <w:rFonts w:ascii="Calibri" w:hAnsi="Calibri" w:eastAsia="微软雅黑"/>
          <w:b w:val="0"/>
          <w:color w:val="333333"/>
          <w:sz w:val="22"/>
        </w:rPr>
        <w:t>：增加未支付金额汇总（欠款风险监控）、招标控制价与合同金额预算执行对比、按采购方式统计三个口径。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编号规则化</w:t>
      </w:r>
      <w:r>
        <w:rPr>
          <w:rFonts w:ascii="Calibri" w:hAnsi="Calibri" w:eastAsia="微软雅黑"/>
          <w:b w:val="0"/>
          <w:color w:val="333333"/>
          <w:sz w:val="22"/>
        </w:rPr>
        <w:t>：支持“年度加类别”自动编号（如 2026-FW-001），新增页面提供编号格式提示，降低手工编号错误。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附件管理补全</w:t>
      </w:r>
      <w:r>
        <w:rPr>
          <w:rFonts w:ascii="Calibri" w:hAnsi="Calibri" w:eastAsia="微软雅黑"/>
          <w:b w:val="0"/>
          <w:color w:val="333333"/>
          <w:sz w:val="22"/>
        </w:rPr>
        <w:t>：补充附件大小限制与格式白名单，附件目录纳入备份与恢复范围，附件操作留痕（当前已有日志埋点）。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台账批量操作</w:t>
      </w:r>
      <w:r>
        <w:rPr>
          <w:rFonts w:ascii="Calibri" w:hAnsi="Calibri" w:eastAsia="微软雅黑"/>
          <w:b w:val="0"/>
          <w:color w:val="333333"/>
          <w:sz w:val="22"/>
        </w:rPr>
        <w:t>：批量修改下次招采时间、批量归档，提升延续性项目维护效率。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（三）低优先级：可选增强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批量导入增加错误报告与逐条校验结果预览，导入前可下载标准模板。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首页增加“本月待办”“逾期未处理”小型卡片，方便领导快速掌握动态。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五、建议调整（安全与合规）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608"/>
        <w:gridCol w:w="1814"/>
        <w:gridCol w:w="5216"/>
      </w:tblGrid>
      <w:tr>
        <w:tc>
          <w:tcPr>
            <w:tcW w:type="dxa" w:w="260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调整项</w:t>
            </w:r>
          </w:p>
        </w:tc>
        <w:tc>
          <w:tcPr>
            <w:tcW w:type="dxa" w:w="181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现状</w:t>
            </w:r>
          </w:p>
        </w:tc>
        <w:tc>
          <w:tcPr>
            <w:tcW w:type="dxa" w:w="521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建议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密码存储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SHA256 固定盐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改用 PBKDF2 或 scrypt（如 werkzeug 安全模块），历史密码登录时自动迁移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登录防护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无失败限制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连续失败锁定或验证码，部署 HTTPS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会话密钥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内置固定值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改为环境变量配置，避免源码泄露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日志防篡改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可追加可修改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操作日志只追加、禁止修改，导出动作自身留痕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备份恢复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备份至 backups 目录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补充《备份恢复操作规程》，配置定时备份并定期恢复演练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六、可简化或删除项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“查询用户”角色保留作只读账号，无需删除。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“决策依据、招标控制价决策的依据”等低使用率字段建议保留文本输入，不做下拉约束，避免破坏存量数据。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日志“查询不记录”符合大数据量实际，保持现状。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合同浏览页已提供“打印为PDF”（新标签页打印视图 + 打印人/打印时间水印），可满足审计留档需要；打印操作本身以浏览器打印日志为准，系统暂不强制记录，后续如需可增加打印留痕。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七、实施优先级与路线图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608"/>
        <w:gridCol w:w="1814"/>
        <w:gridCol w:w="5216"/>
      </w:tblGrid>
      <w:tr>
        <w:tc>
          <w:tcPr>
            <w:tcW w:type="dxa" w:w="260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优先级</w:t>
            </w:r>
          </w:p>
        </w:tc>
        <w:tc>
          <w:tcPr>
            <w:tcW w:type="dxa" w:w="181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实施内容</w:t>
            </w:r>
          </w:p>
        </w:tc>
        <w:tc>
          <w:tcPr>
            <w:tcW w:type="dxa" w:w="521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建议完成时间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P0 快赢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金额与日期校验、合同状态字段、删除原因留痕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 周内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P1 风控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密码加固、提醒主动触达与推迟、附件规范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 周内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P2 提效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统计增强、编号规则化、批量操作、备份恢复规程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 个月内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7.1 实施说明与状态跟踪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评审建议的落地实施已形成《系统功能提升实施方案》（</w:t>
      </w:r>
      <w:r>
        <w:rPr>
          <w:rFonts w:ascii="Consolas" w:hAnsi="Consolas" w:eastAsia="微软雅黑"/>
          <w:b w:val="0"/>
          <w:color w:val="1F4D78"/>
          <w:sz w:val="20"/>
        </w:rPr>
        <w:t>docs/系统功能提升实施方案.md</w:t>
      </w:r>
      <w:r>
        <w:rPr>
          <w:rFonts w:ascii="Calibri" w:hAnsi="Calibri" w:eastAsia="微软雅黑"/>
          <w:b w:val="0"/>
          <w:color w:val="1F4D78"/>
          <w:sz w:val="21"/>
        </w:rPr>
        <w:t>），逐项给出数据库变更、后端接口、前端交互、参考实现、验收标准与回退方案，供后续版本按 P0→P1→P2 顺序执行。本节为实施状态摘要，完整跟踪表见实施方案 1.3 节。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608"/>
        <w:gridCol w:w="1814"/>
        <w:gridCol w:w="5216"/>
      </w:tblGrid>
      <w:tr>
        <w:tc>
          <w:tcPr>
            <w:tcW w:type="dxa" w:w="260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优先级</w:t>
            </w:r>
          </w:p>
        </w:tc>
        <w:tc>
          <w:tcPr>
            <w:tcW w:type="dxa" w:w="181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改进项</w:t>
            </w:r>
          </w:p>
        </w:tc>
        <w:tc>
          <w:tcPr>
            <w:tcW w:type="dxa" w:w="521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实施状态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P0 快赢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合同状态字段、财务勾稽校验、敏感操作复核留痕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待实施（目标 V1.1）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P1 风控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密码加固、登录防护、会话密钥环境变量、提醒主动触达、附件规范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待实施（目标 V1.2）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P2 提效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统计增强、编号规则化、批量操作、备份恢复规程、导入增强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待实施（目标 V1.3）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八、结论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系统已具备交付使用条件，可先行上线运行；建议按 P0、P1、P2 顺序推进完善，重点补齐合同状态、财务校验与安全加固，确保台账数据准确、流程合规、审计可溯。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color w:val="666666"/>
        <w:sz w:val="18"/>
      </w:rPr>
      <w:t xml:space="preserve">第 </w:t>
    </w:r>
    <w:r>
      <w:rPr>
        <w:rFonts w:ascii="Calibri" w:hAnsi="Calibri" w:eastAsia="微软雅黑"/>
        <w:color w:val="666666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微软雅黑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微软雅黑"/>
        <w:color w:val="666666"/>
        <w:sz w:val="17"/>
      </w:rPr>
      <w:t>“潭合同”台账管理系统 · 系统功能评审与改进建议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00" w:lineRule="auto"/>
      <w:contextualSpacing/>
    </w:pPr>
    <w:rPr>
      <w:rFonts w:ascii="Calibri" w:hAnsi="Calibri" w:eastAsia="微软雅黑"/>
      <w:color w:val="333333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300" w:lineRule="auto"/>
      <w:contextualSpacing/>
    </w:pPr>
    <w:rPr>
      <w:rFonts w:ascii="Calibri" w:hAnsi="Calibri" w:eastAsia="微软雅黑"/>
      <w:color w:val="333333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300" w:lineRule="auto"/>
      <w:contextualSpacing/>
    </w:pPr>
    <w:rPr>
      <w:rFonts w:ascii="Calibri" w:hAnsi="Calibri" w:eastAsia="微软雅黑"/>
      <w:color w:val="333333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“潭合同”台账管理系统 用户操作手册</dc:title>
  <dc:subject/>
  <dc:creator>湘潭市机关事务管理局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