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文档版本：V1.1（当前）　|　编制日期：2026-08-24　|　适用系统：“潭合同”台账管理系统 V1.0</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83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128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：当前约 639 条合同、27 个用户、13 个部门组合、6 个附件记录。</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七张业务表：合同、用户、部门、配置、附件、操作日志、schema_version（数据库版本记录表）</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 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合同附件文件（决策依据/合同/验收结算）</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行数（2026-08）</w:t>
            </w:r>
          </w:p>
        </w:tc>
      </w:tr>
      <w:tr>
        <w:tc>
          <w:tcPr>
            <w:tcW w:type="dxa" w:w="2608"/>
          </w:tcPr>
          <w:p>
            <w:pPr>
              <w:spacing w:after="40" w:before="40"/>
            </w:pPr>
            <w:r>
              <w:rPr>
                <w:rFonts w:ascii="Calibri" w:hAnsi="Calibri" w:eastAsia="微软雅黑"/>
                <w:b w:val="0"/>
                <w:color w:val="333333"/>
                <w:sz w:val="21"/>
              </w:rPr>
              <w:t>contracts</w:t>
            </w:r>
          </w:p>
        </w:tc>
        <w:tc>
          <w:tcPr>
            <w:tcW w:type="dxa" w:w="1814"/>
          </w:tcPr>
          <w:p>
            <w:pPr>
              <w:spacing w:after="40" w:before="40"/>
            </w:pPr>
            <w:r>
              <w:rPr>
                <w:rFonts w:ascii="Calibri" w:hAnsi="Calibri" w:eastAsia="微软雅黑"/>
                <w:b w:val="0"/>
                <w:color w:val="333333"/>
                <w:sz w:val="21"/>
              </w:rPr>
              <w:t>合同台账主表</w:t>
            </w:r>
          </w:p>
        </w:tc>
        <w:tc>
          <w:tcPr>
            <w:tcW w:type="dxa" w:w="5216"/>
          </w:tcPr>
          <w:p>
            <w:pPr>
              <w:spacing w:after="40" w:before="40"/>
            </w:pPr>
            <w:r>
              <w:rPr>
                <w:rFonts w:ascii="Calibri" w:hAnsi="Calibri" w:eastAsia="微软雅黑"/>
                <w:b w:val="0"/>
                <w:color w:val="333333"/>
                <w:sz w:val="21"/>
              </w:rPr>
              <w:t>639</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w:t>
            </w:r>
          </w:p>
        </w:tc>
        <w:tc>
          <w:tcPr>
            <w:tcW w:type="dxa" w:w="5216"/>
          </w:tcPr>
          <w:p>
            <w:pPr>
              <w:spacing w:after="40" w:before="40"/>
            </w:pPr>
            <w:r>
              <w:rPr>
                <w:rFonts w:ascii="Calibri" w:hAnsi="Calibri" w:eastAsia="微软雅黑"/>
                <w:b w:val="0"/>
                <w:color w:val="333333"/>
                <w:sz w:val="21"/>
              </w:rPr>
              <w:t>27</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p>
        </w:tc>
        <w:tc>
          <w:tcPr>
            <w:tcW w:type="dxa" w:w="5216"/>
          </w:tcPr>
          <w:p>
            <w:pPr>
              <w:spacing w:after="40" w:before="40"/>
            </w:pPr>
            <w:r>
              <w:rPr>
                <w:rFonts w:ascii="Calibri" w:hAnsi="Calibri" w:eastAsia="微软雅黑"/>
                <w:b w:val="0"/>
                <w:color w:val="333333"/>
                <w:sz w:val="21"/>
              </w:rPr>
              <w:t>13</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w:t>
            </w:r>
          </w:p>
        </w:tc>
        <w:tc>
          <w:tcPr>
            <w:tcW w:type="dxa" w:w="5216"/>
          </w:tcPr>
          <w:p>
            <w:pPr>
              <w:spacing w:after="40" w:before="40"/>
            </w:pPr>
            <w:r>
              <w:rPr>
                <w:rFonts w:ascii="Calibri" w:hAnsi="Calibri" w:eastAsia="微软雅黑"/>
                <w:b w:val="0"/>
                <w:color w:val="333333"/>
                <w:sz w:val="21"/>
              </w:rPr>
              <w:t>3</w:t>
            </w:r>
          </w:p>
        </w:tc>
      </w:tr>
      <w:tr>
        <w:tc>
          <w:tcPr>
            <w:tcW w:type="dxa" w:w="2608"/>
          </w:tcPr>
          <w:p>
            <w:pPr>
              <w:spacing w:after="40" w:before="40"/>
            </w:pPr>
            <w:r>
              <w:rPr>
                <w:rFonts w:ascii="Calibri" w:hAnsi="Calibri" w:eastAsia="微软雅黑"/>
                <w:b w:val="0"/>
                <w:color w:val="333333"/>
                <w:sz w:val="21"/>
              </w:rPr>
              <w:t>attachments</w:t>
            </w:r>
          </w:p>
        </w:tc>
        <w:tc>
          <w:tcPr>
            <w:tcW w:type="dxa" w:w="1814"/>
          </w:tcPr>
          <w:p>
            <w:pPr>
              <w:spacing w:after="40" w:before="40"/>
            </w:pPr>
            <w:r>
              <w:rPr>
                <w:rFonts w:ascii="Calibri" w:hAnsi="Calibri" w:eastAsia="微软雅黑"/>
                <w:b w:val="0"/>
                <w:color w:val="333333"/>
                <w:sz w:val="21"/>
              </w:rPr>
              <w:t>附件索引</w:t>
            </w:r>
          </w:p>
        </w:tc>
        <w:tc>
          <w:tcPr>
            <w:tcW w:type="dxa" w:w="5216"/>
          </w:tcPr>
          <w:p>
            <w:pPr>
              <w:spacing w:after="40" w:before="40"/>
            </w:pPr>
            <w:r>
              <w:rPr>
                <w:rFonts w:ascii="Calibri" w:hAnsi="Calibri" w:eastAsia="微软雅黑"/>
                <w:b w:val="0"/>
                <w:color w:val="333333"/>
                <w:sz w:val="21"/>
              </w:rPr>
              <w:t>6</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682</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3</w:t>
            </w:r>
          </w:p>
        </w:tc>
      </w:tr>
    </w:tbl>
    <w:p>
      <w:pPr>
        <w:spacing w:after="40"/>
      </w:pPr>
    </w:p>
    <w:p>
      <w:pPr>
        <w:pStyle w:val="Heading2"/>
      </w:pPr>
      <w:r>
        <w:rPr>
          <w:rFonts w:ascii="Calibri" w:hAnsi="Calibri" w:eastAsia="微软雅黑"/>
          <w:b/>
          <w:color w:val="2E74B5"/>
          <w:sz w:val="26"/>
        </w:rPr>
        <w:t>3.2 contracts 表</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35 列（id + 34 个业务列）；34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，不含是否归档/归档人/归档时间/所属单位/所属科室）+ 3 个归档字段（是否归档、归档人、归档时间）+ 2 个外键派生列（所属单位、所属科室）。</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必填，全局唯一（唯一索引 idx_contracts_no）</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attachments</w:t>
      </w:r>
      <w:r>
        <w:rPr>
          <w:rFonts w:ascii="Calibri" w:hAnsi="Calibri" w:eastAsia="微软雅黑"/>
          <w:b w:val="0"/>
          <w:color w:val="333333"/>
          <w:sz w:val="22"/>
        </w:rPr>
        <w:t>：附件ID（TEXT，主键，UUID）、合同编号（外键 → contracts.编号，A-03）、附件类型（决策依据附件/合同附件/验收结算附件）、显示名称、存储文件名（UUID.扩展名）、文件大小（INTEGER，字节数，A-06）、上传人、上传时间。</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3 行（v1/v2/v3，A-07）。</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决策依据附件、合同附件、验收结算附件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13 个组合</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 过滤；</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w:t>
      </w:r>
    </w:p>
    <w:p>
      <w:pPr>
        <w:pStyle w:val="ListBullet2"/>
      </w:pPr>
      <w:r>
        <w:rPr>
          <w:rFonts w:ascii="Calibri" w:hAnsi="Calibri" w:eastAsia="微软雅黑"/>
          <w:b w:val="0"/>
          <w:color w:val="333333"/>
          <w:sz w:val="22"/>
        </w:rPr>
        <w:t>归档权限：管理员或该合同经办人（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总合同数、总金额、到期合同数、待支付项目数、待支付总金额（按数据权限过滤）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到期提醒列表（含剩余天数）</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待支付提醒列表（与“待支付项目数”卡片口径一致：未归档+待支付金额&gt;0，含 pending_amount）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清空下次招采时间（永久关闭提醒）</w:t>
            </w:r>
          </w:p>
        </w:tc>
      </w:tr>
    </w:tbl>
    <w:p>
      <w:pPr>
        <w:spacing w:after="40"/>
      </w:pPr>
    </w:p>
    <w:p>
      <w:r>
        <w:rPr>
          <w:rFonts w:ascii="Calibri" w:hAnsi="Calibri" w:eastAsia="微软雅黑"/>
          <w:b/>
          <w:color w:val="333333"/>
          <w:sz w:val="22"/>
        </w:rPr>
        <w:t>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修改（编号唯一性、附件同步改号）</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修改用户名/密码</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读取提醒天数、日志保留天数</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日志分页（管理员全量，普通用户仅本人）</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导出日志 xlsx（自身留痕）</w:t>
            </w:r>
          </w:p>
        </w:tc>
      </w:tr>
    </w:tbl>
    <w:p>
      <w:pPr>
        <w:spacing w:after="40"/>
      </w:pP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编号唯一性</w:t>
      </w:r>
      <w:r>
        <w:rPr>
          <w:rFonts w:ascii="Calibri" w:hAnsi="Calibri" w:eastAsia="微软雅黑"/>
          <w:b w:val="0"/>
          <w:color w:val="333333"/>
          <w:sz w:val="22"/>
        </w:rPr>
        <w:t>：新增/修改均遍历全表校验“编号”不重复；</w:t>
      </w:r>
    </w:p>
    <w:p>
      <w:pPr>
        <w:pStyle w:val="ListBullet"/>
      </w:pPr>
      <w:r>
        <w:rPr>
          <w:rFonts w:ascii="Calibri" w:hAnsi="Calibri" w:eastAsia="微软雅黑"/>
          <w:b/>
          <w:color w:val="333333"/>
          <w:sz w:val="22"/>
        </w:rPr>
        <w:t>提醒计算</w:t>
      </w:r>
      <w:r>
        <w:rPr>
          <w:rFonts w:ascii="Calibri" w:hAnsi="Calibri" w:eastAsia="微软雅黑"/>
          <w:b w:val="0"/>
          <w:color w:val="333333"/>
          <w:sz w:val="22"/>
        </w:rPr>
        <w:t>：</w:t>
      </w:r>
      <w:r>
        <w:rPr>
          <w:rFonts w:ascii="Consolas" w:hAnsi="Consolas" w:eastAsia="微软雅黑"/>
          <w:b w:val="0"/>
          <w:color w:val="333333"/>
          <w:sz w:val="21"/>
        </w:rPr>
        <w:t>next_bid_date - remind_days ≤ today</w:t>
      </w:r>
      <w:r>
        <w:rPr>
          <w:rFonts w:ascii="Calibri" w:hAnsi="Calibri" w:eastAsia="微软雅黑"/>
          <w:b w:val="0"/>
          <w:color w:val="333333"/>
          <w:sz w:val="22"/>
        </w:rPr>
        <w:t xml:space="preserve"> 且合同属于用户可见范围 → 进入提醒列表（含已归档合同）；剩余天数 = 下次招采时间 − 今天；</w:t>
      </w:r>
    </w:p>
    <w:p>
      <w:pPr>
        <w:pStyle w:val="ListBullet"/>
      </w:pPr>
      <w:r>
        <w:rPr>
          <w:rFonts w:ascii="Calibri" w:hAnsi="Calibri" w:eastAsia="微软雅黑"/>
          <w:b/>
          <w:color w:val="333333"/>
          <w:sz w:val="22"/>
        </w:rPr>
        <w:t>待支付计算</w:t>
      </w:r>
      <w:r>
        <w:rPr>
          <w:rFonts w:ascii="Calibri" w:hAnsi="Calibri" w:eastAsia="微软雅黑"/>
          <w:b w:val="0"/>
          <w:color w:val="333333"/>
          <w:sz w:val="22"/>
        </w:rPr>
        <w:t>：</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的合同数；</w:t>
      </w:r>
      <w:r>
        <w:rPr>
          <w:rFonts w:ascii="Consolas" w:hAnsi="Consolas" w:eastAsia="微软雅黑"/>
          <w:b w:val="0"/>
          <w:color w:val="333333"/>
          <w:sz w:val="21"/>
        </w:rPr>
        <w:t>/api/pending_payments</w:t>
      </w:r>
      <w:r>
        <w:rPr>
          <w:rFonts w:ascii="Calibri" w:hAnsi="Calibri" w:eastAsia="微软雅黑"/>
          <w:b w:val="0"/>
          <w:color w:val="333333"/>
          <w:sz w:val="22"/>
        </w:rPr>
        <w:t xml:space="preserve"> 与待支付项目数卡片口径一致，按“未归档 + 待支付金额大于 0”筛选；</w:t>
      </w:r>
    </w:p>
    <w:p>
      <w:pPr>
        <w:pStyle w:val="ListBullet"/>
      </w:pPr>
      <w:r>
        <w:rPr>
          <w:rFonts w:ascii="Calibri" w:hAnsi="Calibri" w:eastAsia="微软雅黑"/>
          <w:b/>
          <w:color w:val="333333"/>
          <w:sz w:val="22"/>
        </w:rPr>
        <w:t>附件校验</w:t>
      </w:r>
      <w:r>
        <w:rPr>
          <w:rFonts w:ascii="Calibri" w:hAnsi="Calibri" w:eastAsia="微软雅黑"/>
          <w:b w:val="0"/>
          <w:color w:val="333333"/>
          <w:sz w:val="22"/>
        </w:rPr>
        <w:t>：格式白名单（jpg/jpeg/png/gif/webp/bmp/pdf）+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，记录已应用的迁移版本（当前 3 行 v1/v2/v3）；</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3 项）：v1 contracts 补历史字段列（资金来源/是否归档/归档人/归档时间）、v2 contracts 列改名（经办人/分管领导→经办人、甲方现场负责人→现场负责人）、v3 users 补分管部门；</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五张统计卡片（总合同数/总合同额/已将到期/待支付项目数/待支付总金额）、合同到期提醒列表（忽略/永久关闭、更多/折叠）、待支付提醒列表（动态数量说明、更多/折叠）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搜索筛选、分页表格、新增/编辑弹窗、删除、归档、附件上传、导出、导入预览与执行、打印为PDF</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九个统计维度（部门/时间/经办人/项目分类/资金来源/部门支付情况/项目支付情况/部门预算执行情况/项目预算执行情况）、筛选控件一行排列、统计/重置按钮、四种图表类型、统计明细表、导出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日志筛选、分页、导出</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1"/>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1"/>
        </w:numPr>
      </w:pPr>
      <w:r>
        <w:rPr>
          <w:rFonts w:ascii="Calibri" w:hAnsi="Calibri" w:eastAsia="微软雅黑"/>
          <w:b w:val="0"/>
          <w:color w:val="333333"/>
          <w:sz w:val="22"/>
        </w:rPr>
        <w:t>按《系统功能提升实施方案》5.1 节回归清单逐项验证；</w:t>
      </w:r>
    </w:p>
    <w:p>
      <w:pPr>
        <w:pStyle w:val="ListNumber"/>
        <w:numPr>
          <w:ilvl w:val="0"/>
          <w:numId w:val="11"/>
        </w:numPr>
      </w:pPr>
      <w:r>
        <w:rPr>
          <w:rFonts w:ascii="Calibri" w:hAnsi="Calibri" w:eastAsia="微软雅黑"/>
          <w:b w:val="0"/>
          <w:color w:val="333333"/>
          <w:sz w:val="22"/>
        </w:rPr>
        <w:t>重点验证三类角色（管理员/普通用户/查询用户）的数据权限边界；</w:t>
      </w:r>
    </w:p>
    <w:p>
      <w:pPr>
        <w:pStyle w:val="ListNumber"/>
        <w:numPr>
          <w:ilvl w:val="0"/>
          <w:numId w:val="11"/>
        </w:numPr>
      </w:pPr>
      <w:r>
        <w:rPr>
          <w:rFonts w:ascii="Calibri" w:hAnsi="Calibri" w:eastAsia="微软雅黑"/>
          <w:b w:val="0"/>
          <w:color w:val="333333"/>
          <w:sz w:val="22"/>
        </w:rPr>
        <w:t>导出与导入往返验证：导出 → 修改 → 导入预览 → 导入。</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2"/>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2"/>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2"/>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3"/>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3"/>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3"/>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3"/>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3"/>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4"/>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4"/>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