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/>
        <w:jc w:val="center"/>
      </w:pPr>
      <w:r>
        <w:rPr>
          <w:rFonts w:ascii="Calibri" w:hAnsi="Calibri" w:eastAsia="微软雅黑"/>
          <w:b/>
          <w:color w:val="1F4D78"/>
          <w:sz w:val="44"/>
        </w:rPr>
        <w:t>《数据库规范化评估报告》</w:t>
      </w:r>
    </w:p>
    <w:p>
      <w:pPr>
        <w:spacing w:before="80" w:after="160"/>
        <w:ind w:left="170" w:right="170"/>
        <w:shd w:val="clear" w:color="auto" w:fill="EAF3FB"/>
        <w:pBdr>
          <w:left w:val="single" w:sz="14" w:space="4" w:color="1E90FF"/>
        </w:pBdr>
      </w:pPr>
      <w:r>
        <w:rPr>
          <w:rFonts w:ascii="Calibri" w:hAnsi="Calibri" w:eastAsia="微软雅黑"/>
          <w:b w:val="0"/>
          <w:color w:val="1F4D78"/>
          <w:sz w:val="21"/>
        </w:rPr>
        <w:t>系统名称：“潭合同”台账管理系统</w:t>
      </w:r>
    </w:p>
    <w:p>
      <w:pPr>
        <w:spacing w:before="80" w:after="160"/>
        <w:ind w:left="170" w:right="170"/>
        <w:shd w:val="clear" w:color="auto" w:fill="EAF3FB"/>
        <w:pBdr>
          <w:left w:val="single" w:sz="14" w:space="4" w:color="1E90FF"/>
        </w:pBdr>
      </w:pPr>
      <w:r>
        <w:rPr>
          <w:rFonts w:ascii="Calibri" w:hAnsi="Calibri" w:eastAsia="微软雅黑"/>
          <w:b w:val="0"/>
          <w:color w:val="1F4D78"/>
          <w:sz w:val="21"/>
        </w:rPr>
        <w:t>使用单位：湘潭市机关事务管理局</w:t>
      </w:r>
    </w:p>
    <w:p>
      <w:pPr>
        <w:spacing w:before="80" w:after="160"/>
        <w:ind w:left="170" w:right="170"/>
        <w:shd w:val="clear" w:color="auto" w:fill="EAF3FB"/>
        <w:pBdr>
          <w:left w:val="single" w:sz="14" w:space="4" w:color="1E90FF"/>
        </w:pBdr>
      </w:pPr>
      <w:r>
        <w:rPr>
          <w:rFonts w:ascii="Calibri" w:hAnsi="Calibri" w:eastAsia="微软雅黑"/>
          <w:b w:val="0"/>
          <w:color w:val="1F4D78"/>
          <w:sz w:val="21"/>
        </w:rPr>
        <w:t>版本：V1.0（2026年8月）</w:t>
      </w:r>
    </w:p>
    <w:p>
      <w:pPr>
        <w:spacing w:before="80" w:after="160"/>
        <w:ind w:left="170" w:right="170"/>
        <w:shd w:val="clear" w:color="auto" w:fill="EAF3FB"/>
        <w:pBdr>
          <w:left w:val="single" w:sz="14" w:space="4" w:color="1E90FF"/>
        </w:pBdr>
      </w:pPr>
      <w:r>
        <w:rPr>
          <w:rFonts w:ascii="Calibri" w:hAnsi="Calibri" w:eastAsia="微软雅黑"/>
          <w:b w:val="0"/>
          <w:color w:val="1F4D78"/>
          <w:sz w:val="21"/>
        </w:rPr>
        <w:t>评估性质：只读评估，评估过程中未对系统功能、代码与文档做任何修改</w:t>
      </w:r>
    </w:p>
    <w:p>
      <w:pPr>
        <w:spacing w:before="80" w:after="160"/>
        <w:ind w:left="170" w:right="170"/>
        <w:shd w:val="clear" w:color="auto" w:fill="EAF3FB"/>
        <w:pBdr>
          <w:left w:val="single" w:sz="14" w:space="4" w:color="1E90FF"/>
        </w:pBdr>
      </w:pPr>
      <w:r>
        <w:rPr>
          <w:rFonts w:ascii="Calibri" w:hAnsi="Calibri" w:eastAsia="微软雅黑"/>
          <w:b w:val="0"/>
          <w:color w:val="1F4D78"/>
          <w:sz w:val="21"/>
        </w:rPr>
        <w:t>评估对象：</w:t>
      </w:r>
      <w:r>
        <w:rPr>
          <w:rFonts w:ascii="Consolas" w:hAnsi="Consolas" w:eastAsia="微软雅黑"/>
          <w:b w:val="0"/>
          <w:color w:val="1F4D78"/>
          <w:sz w:val="20"/>
        </w:rPr>
        <w:t>data/合同台账.db</w:t>
      </w:r>
      <w:r>
        <w:rPr>
          <w:rFonts w:ascii="Calibri" w:hAnsi="Calibri" w:eastAsia="微软雅黑"/>
          <w:b w:val="0"/>
          <w:color w:val="1F4D78"/>
          <w:sz w:val="21"/>
        </w:rPr>
        <w:t>（SQLite，共 6 张业务表）</w:t>
      </w:r>
    </w:p>
    <w:p>
      <w:pPr>
        <w:spacing w:before="80" w:after="160"/>
        <w:ind w:left="170" w:right="170"/>
        <w:shd w:val="clear" w:color="auto" w:fill="EAF3FB"/>
        <w:pBdr>
          <w:left w:val="single" w:sz="14" w:space="4" w:color="1E90FF"/>
        </w:pBdr>
      </w:pPr>
      <w:r>
        <w:rPr>
          <w:rFonts w:ascii="Calibri" w:hAnsi="Calibri" w:eastAsia="微软雅黑"/>
          <w:b/>
          <w:color w:val="1F4D78"/>
          <w:sz w:val="21"/>
        </w:rPr>
        <w:t>后续变更提示（2026-09-29 补充）</w:t>
      </w:r>
      <w:r>
        <w:rPr>
          <w:rFonts w:ascii="Calibri" w:hAnsi="Calibri" w:eastAsia="微软雅黑"/>
          <w:b w:val="0"/>
          <w:color w:val="1F4D78"/>
          <w:sz w:val="21"/>
        </w:rPr>
        <w:t>：本报告为 2026-08 评估期成果，文中表数、表名（</w:t>
      </w:r>
      <w:r>
        <w:rPr>
          <w:rFonts w:ascii="Consolas" w:hAnsi="Consolas" w:eastAsia="微软雅黑"/>
          <w:b w:val="0"/>
          <w:color w:val="1F4D78"/>
          <w:sz w:val="20"/>
        </w:rPr>
        <w:t>contracts</w:t>
      </w:r>
      <w:r>
        <w:rPr>
          <w:rFonts w:ascii="Calibri" w:hAnsi="Calibri" w:eastAsia="微软雅黑"/>
          <w:b w:val="0"/>
          <w:color w:val="1F4D78"/>
          <w:sz w:val="21"/>
        </w:rPr>
        <w:t xml:space="preserve">）与数据规模为当时实况。此后系统新增资产合同台账表 </w:t>
      </w:r>
      <w:r>
        <w:rPr>
          <w:rFonts w:ascii="Consolas" w:hAnsi="Consolas" w:eastAsia="微软雅黑"/>
          <w:b w:val="0"/>
          <w:color w:val="1F4D78"/>
          <w:sz w:val="20"/>
        </w:rPr>
        <w:t>asset_contracts</w:t>
      </w:r>
      <w:r>
        <w:rPr>
          <w:rFonts w:ascii="Calibri" w:hAnsi="Calibri" w:eastAsia="微软雅黑"/>
          <w:b w:val="0"/>
          <w:color w:val="1F4D78"/>
          <w:sz w:val="21"/>
        </w:rPr>
        <w:t>（v4/v6/v7/v8/v10，v13/v14/v15 删列与改名后为 21 列）、</w:t>
      </w:r>
      <w:r>
        <w:rPr>
          <w:rFonts w:ascii="Calibri" w:hAnsi="Calibri" w:eastAsia="微软雅黑"/>
          <w:b/>
          <w:color w:val="1F4D78"/>
          <w:sz w:val="21"/>
        </w:rPr>
        <w:t>资产租金收缴表 `asset_rent_collections`（v12，10 列，按收款期次 1:N）</w:t>
      </w:r>
      <w:r>
        <w:rPr>
          <w:rFonts w:ascii="Calibri" w:hAnsi="Calibri" w:eastAsia="微软雅黑"/>
          <w:b w:val="0"/>
          <w:color w:val="1F4D78"/>
          <w:sz w:val="21"/>
        </w:rPr>
        <w:t xml:space="preserve">、资产合同附件表 </w:t>
      </w:r>
      <w:r>
        <w:rPr>
          <w:rFonts w:ascii="Consolas" w:hAnsi="Consolas" w:eastAsia="微软雅黑"/>
          <w:b w:val="0"/>
          <w:color w:val="1F4D78"/>
          <w:sz w:val="20"/>
        </w:rPr>
        <w:t>asset_attachments</w:t>
      </w:r>
      <w:r>
        <w:rPr>
          <w:rFonts w:ascii="Calibri" w:hAnsi="Calibri" w:eastAsia="微软雅黑"/>
          <w:b w:val="0"/>
          <w:color w:val="1F4D78"/>
          <w:sz w:val="21"/>
        </w:rPr>
        <w:t xml:space="preserve">（v9，附件类型三种）、字段级变更日志表 </w:t>
      </w:r>
      <w:r>
        <w:rPr>
          <w:rFonts w:ascii="Consolas" w:hAnsi="Consolas" w:eastAsia="微软雅黑"/>
          <w:b w:val="0"/>
          <w:color w:val="1F4D78"/>
          <w:sz w:val="20"/>
        </w:rPr>
        <w:t>field_change_logs</w:t>
      </w:r>
      <w:r>
        <w:rPr>
          <w:rFonts w:ascii="Calibri" w:hAnsi="Calibri" w:eastAsia="微软雅黑"/>
          <w:b w:val="0"/>
          <w:color w:val="1F4D78"/>
          <w:sz w:val="21"/>
        </w:rPr>
        <w:t xml:space="preserve">（v11），合同主表于 2026-09-20 改名为 </w:t>
      </w:r>
      <w:r>
        <w:rPr>
          <w:rFonts w:ascii="Consolas" w:hAnsi="Consolas" w:eastAsia="微软雅黑"/>
          <w:b w:val="0"/>
          <w:color w:val="1F4D78"/>
          <w:sz w:val="20"/>
        </w:rPr>
        <w:t>project_contracts</w:t>
      </w:r>
      <w:r>
        <w:rPr>
          <w:rFonts w:ascii="Calibri" w:hAnsi="Calibri" w:eastAsia="微软雅黑"/>
          <w:b w:val="0"/>
          <w:color w:val="1F4D78"/>
          <w:sz w:val="21"/>
        </w:rPr>
        <w:t>（v5），并新增统计/提醒索引（v18）；</w:t>
      </w:r>
      <w:r>
        <w:rPr>
          <w:rFonts w:ascii="Consolas" w:hAnsi="Consolas" w:eastAsia="微软雅黑"/>
          <w:b w:val="0"/>
          <w:color w:val="1F4D78"/>
          <w:sz w:val="20"/>
        </w:rPr>
        <w:t>schema_version</w:t>
      </w:r>
      <w:r>
        <w:rPr>
          <w:rFonts w:ascii="Calibri" w:hAnsi="Calibri" w:eastAsia="微软雅黑"/>
          <w:b w:val="0"/>
          <w:color w:val="1F4D78"/>
          <w:sz w:val="21"/>
        </w:rPr>
        <w:t xml:space="preserve"> 已到 </w:t>
      </w:r>
      <w:r>
        <w:rPr>
          <w:rFonts w:ascii="Calibri" w:hAnsi="Calibri" w:eastAsia="微软雅黑"/>
          <w:b/>
          <w:color w:val="1F4D78"/>
          <w:sz w:val="21"/>
        </w:rPr>
        <w:t>v18</w:t>
      </w:r>
      <w:r>
        <w:rPr>
          <w:rFonts w:ascii="Calibri" w:hAnsi="Calibri" w:eastAsia="微软雅黑"/>
          <w:b w:val="0"/>
          <w:color w:val="1F4D78"/>
          <w:sz w:val="21"/>
        </w:rPr>
        <w:t xml:space="preserve">。当前共 10 张业务表 + </w:t>
      </w:r>
      <w:r>
        <w:rPr>
          <w:rFonts w:ascii="Consolas" w:hAnsi="Consolas" w:eastAsia="微软雅黑"/>
          <w:b w:val="0"/>
          <w:color w:val="1F4D78"/>
          <w:sz w:val="20"/>
        </w:rPr>
        <w:t>schema_version</w:t>
      </w:r>
      <w:r>
        <w:rPr>
          <w:rFonts w:ascii="Calibri" w:hAnsi="Calibri" w:eastAsia="微软雅黑"/>
          <w:b w:val="0"/>
          <w:color w:val="1F4D78"/>
          <w:sz w:val="21"/>
        </w:rPr>
        <w:t>，数据量为项目合同 639 条、资产合同 5 条、租金收取记录 16 条、用户 29 条、部门组合 15 个。最新结构以《数据字典表》V1.4 与《系统开发文档》V1.3 为准。</w:t>
      </w:r>
    </w:p>
    <w:p>
      <w:pPr>
        <w:pStyle w:val="Heading1"/>
      </w:pPr>
      <w:r>
        <w:rPr>
          <w:rFonts w:ascii="Calibri" w:hAnsi="Calibri" w:eastAsia="微软雅黑"/>
          <w:b/>
          <w:color w:val="2E74B5"/>
          <w:sz w:val="32"/>
        </w:rPr>
        <w:t>一、评估范围与方法</w:t>
      </w:r>
    </w:p>
    <w:p>
      <w:pPr>
        <w:pStyle w:val="ListBullet"/>
      </w:pPr>
      <w:r>
        <w:rPr>
          <w:rFonts w:ascii="Calibri" w:hAnsi="Calibri" w:eastAsia="微软雅黑"/>
          <w:b/>
          <w:color w:val="333333"/>
          <w:sz w:val="22"/>
        </w:rPr>
        <w:t>评估范围</w:t>
      </w:r>
      <w:r>
        <w:rPr>
          <w:rFonts w:ascii="Calibri" w:hAnsi="Calibri" w:eastAsia="微软雅黑"/>
          <w:b w:val="0"/>
          <w:color w:val="333333"/>
          <w:sz w:val="22"/>
        </w:rPr>
        <w:t>：系统全部 6 张业务表（contracts、users、departments、settings、attachments、operation_logs）的表结构、字段类型、约束、索引及存量数据特征。</w:t>
      </w:r>
    </w:p>
    <w:p>
      <w:pPr>
        <w:pStyle w:val="ListBullet"/>
      </w:pPr>
      <w:r>
        <w:rPr>
          <w:rFonts w:ascii="Calibri" w:hAnsi="Calibri" w:eastAsia="微软雅黑"/>
          <w:b/>
          <w:color w:val="333333"/>
          <w:sz w:val="22"/>
        </w:rPr>
        <w:t>评估方法</w:t>
      </w:r>
      <w:r>
        <w:rPr>
          <w:rFonts w:ascii="Calibri" w:hAnsi="Calibri" w:eastAsia="微软雅黑"/>
          <w:b w:val="0"/>
          <w:color w:val="333333"/>
          <w:sz w:val="22"/>
        </w:rPr>
        <w:t xml:space="preserve">：以关系数据库第一范式（1NF）、第二范式（2NF）、第三范式（3NF）、BCNF 及通用设计规范为基准，结合 </w:t>
      </w:r>
      <w:r>
        <w:rPr>
          <w:rFonts w:ascii="Consolas" w:hAnsi="Consolas" w:eastAsia="微软雅黑"/>
          <w:b w:val="0"/>
          <w:color w:val="333333"/>
          <w:sz w:val="21"/>
        </w:rPr>
        <w:t>PRAGMA table_info</w:t>
      </w:r>
      <w:r>
        <w:rPr>
          <w:rFonts w:ascii="Calibri" w:hAnsi="Calibri" w:eastAsia="微软雅黑"/>
          <w:b w:val="0"/>
          <w:color w:val="333333"/>
          <w:sz w:val="22"/>
        </w:rPr>
        <w:t xml:space="preserve"> 实测与存量数据统计逐项核对。</w:t>
      </w:r>
    </w:p>
    <w:p>
      <w:pPr>
        <w:pStyle w:val="ListBullet"/>
      </w:pPr>
      <w:r>
        <w:rPr>
          <w:rFonts w:ascii="Calibri" w:hAnsi="Calibri" w:eastAsia="微软雅黑"/>
          <w:b/>
          <w:color w:val="333333"/>
          <w:sz w:val="22"/>
        </w:rPr>
        <w:t>数据规模（2026-08 实测）</w:t>
      </w:r>
      <w:r>
        <w:rPr>
          <w:rFonts w:ascii="Calibri" w:hAnsi="Calibri" w:eastAsia="微软雅黑"/>
          <w:b w:val="0"/>
          <w:color w:val="333333"/>
          <w:sz w:val="22"/>
        </w:rPr>
        <w:t>：合同 639 条、用户 26 人、部门组合 13 个、附件 6 条、操作日志 331 条。</w:t>
      </w:r>
    </w:p>
    <w:p>
      <w:pPr>
        <w:pStyle w:val="ListBullet"/>
      </w:pPr>
      <w:r>
        <w:rPr>
          <w:rFonts w:ascii="Calibri" w:hAnsi="Calibri" w:eastAsia="微软雅黑"/>
          <w:b/>
          <w:color w:val="333333"/>
          <w:sz w:val="22"/>
        </w:rPr>
        <w:t>系统形态</w:t>
      </w:r>
      <w:r>
        <w:rPr>
          <w:rFonts w:ascii="Calibri" w:hAnsi="Calibri" w:eastAsia="微软雅黑"/>
          <w:b w:val="0"/>
          <w:color w:val="333333"/>
          <w:sz w:val="22"/>
        </w:rPr>
        <w:t>：单机轻量级 Web 应用，后端 Flask（</w:t>
      </w:r>
      <w:r>
        <w:rPr>
          <w:rFonts w:ascii="Consolas" w:hAnsi="Consolas" w:eastAsia="微软雅黑"/>
          <w:b w:val="0"/>
          <w:color w:val="333333"/>
          <w:sz w:val="21"/>
        </w:rPr>
        <w:t>app.py</w:t>
      </w:r>
      <w:r>
        <w:rPr>
          <w:rFonts w:ascii="Calibri" w:hAnsi="Calibri" w:eastAsia="微软雅黑"/>
          <w:b w:val="0"/>
          <w:color w:val="333333"/>
          <w:sz w:val="22"/>
        </w:rPr>
        <w:t xml:space="preserve"> 1605 行、36 个路由），前端单页 HTML（</w:t>
      </w:r>
      <w:r>
        <w:rPr>
          <w:rFonts w:ascii="Consolas" w:hAnsi="Consolas" w:eastAsia="微软雅黑"/>
          <w:b w:val="0"/>
          <w:color w:val="333333"/>
          <w:sz w:val="21"/>
        </w:rPr>
        <w:t>templates/index.html</w:t>
      </w:r>
      <w:r>
        <w:rPr>
          <w:rFonts w:ascii="Calibri" w:hAnsi="Calibri" w:eastAsia="微软雅黑"/>
          <w:b w:val="0"/>
          <w:color w:val="333333"/>
          <w:sz w:val="22"/>
        </w:rPr>
        <w:t xml:space="preserve"> 1607 行），数据存储 SQLite。</w:t>
      </w:r>
    </w:p>
    <w:p>
      <w:pPr>
        <w:pStyle w:val="Heading1"/>
      </w:pPr>
      <w:r>
        <w:rPr>
          <w:rFonts w:ascii="Calibri" w:hAnsi="Calibri" w:eastAsia="微软雅黑"/>
          <w:b/>
          <w:color w:val="2E74B5"/>
          <w:sz w:val="32"/>
        </w:rPr>
        <w:t>二、现状数据库总览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2.1 表结构清单</w:t>
      </w:r>
    </w:p>
    <w:tbl>
      <w:tblPr>
        <w:tblStyle w:val="TableGrid"/>
        <w:tblW w:type="dxa" w:w="9638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551"/>
        <w:gridCol w:w="2326"/>
        <w:gridCol w:w="1108"/>
        <w:gridCol w:w="1551"/>
        <w:gridCol w:w="3102"/>
      </w:tblGrid>
      <w:tr>
        <w:tc>
          <w:tcPr>
            <w:tcW w:type="dxa" w:w="1551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表名</w:t>
            </w:r>
          </w:p>
        </w:tc>
        <w:tc>
          <w:tcPr>
            <w:tcW w:type="dxa" w:w="2326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用途</w:t>
            </w:r>
          </w:p>
        </w:tc>
        <w:tc>
          <w:tcPr>
            <w:tcW w:type="dxa" w:w="1108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行数</w:t>
            </w:r>
          </w:p>
        </w:tc>
        <w:tc>
          <w:tcPr>
            <w:tcW w:type="dxa" w:w="1551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主键</w:t>
            </w:r>
          </w:p>
        </w:tc>
        <w:tc>
          <w:tcPr>
            <w:tcW w:type="dxa" w:w="3102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外键/索引/约束</w:t>
            </w:r>
          </w:p>
        </w:tc>
      </w:tr>
      <w:tr>
        <w:tc>
          <w:tcPr>
            <w:tcW w:type="dxa" w:w="155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contracts</w:t>
            </w:r>
          </w:p>
        </w:tc>
        <w:tc>
          <w:tcPr>
            <w:tcW w:type="dxa" w:w="232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合同台账主表</w:t>
            </w:r>
          </w:p>
        </w:tc>
        <w:tc>
          <w:tcPr>
            <w:tcW w:type="dxa" w:w="11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639</w:t>
            </w:r>
          </w:p>
        </w:tc>
        <w:tc>
          <w:tcPr>
            <w:tcW w:type="dxa" w:w="155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id（自增）</w:t>
            </w:r>
          </w:p>
        </w:tc>
        <w:tc>
          <w:tcPr>
            <w:tcW w:type="dxa" w:w="310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无外键、无索引、无 CHECK、无 NOT NULL</w:t>
            </w:r>
          </w:p>
        </w:tc>
      </w:tr>
      <w:tr>
        <w:tc>
          <w:tcPr>
            <w:tcW w:type="dxa" w:w="155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users</w:t>
            </w:r>
          </w:p>
        </w:tc>
        <w:tc>
          <w:tcPr>
            <w:tcW w:type="dxa" w:w="232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系统用户</w:t>
            </w:r>
          </w:p>
        </w:tc>
        <w:tc>
          <w:tcPr>
            <w:tcW w:type="dxa" w:w="11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26</w:t>
            </w:r>
          </w:p>
        </w:tc>
        <w:tc>
          <w:tcPr>
            <w:tcW w:type="dxa" w:w="155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用户名</w:t>
            </w:r>
          </w:p>
        </w:tc>
        <w:tc>
          <w:tcPr>
            <w:tcW w:type="dxa" w:w="310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无</w:t>
            </w:r>
          </w:p>
        </w:tc>
      </w:tr>
      <w:tr>
        <w:tc>
          <w:tcPr>
            <w:tcW w:type="dxa" w:w="155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departments</w:t>
            </w:r>
          </w:p>
        </w:tc>
        <w:tc>
          <w:tcPr>
            <w:tcW w:type="dxa" w:w="232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部门组合（单位-科室）</w:t>
            </w:r>
          </w:p>
        </w:tc>
        <w:tc>
          <w:tcPr>
            <w:tcW w:type="dxa" w:w="11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13</w:t>
            </w:r>
          </w:p>
        </w:tc>
        <w:tc>
          <w:tcPr>
            <w:tcW w:type="dxa" w:w="155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333333"/>
                <w:sz w:val="21"/>
              </w:rPr>
              <w:t>无主键</w:t>
            </w:r>
          </w:p>
        </w:tc>
        <w:tc>
          <w:tcPr>
            <w:tcW w:type="dxa" w:w="310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无</w:t>
            </w:r>
          </w:p>
        </w:tc>
      </w:tr>
      <w:tr>
        <w:tc>
          <w:tcPr>
            <w:tcW w:type="dxa" w:w="155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settings</w:t>
            </w:r>
          </w:p>
        </w:tc>
        <w:tc>
          <w:tcPr>
            <w:tcW w:type="dxa" w:w="232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系统配置（键值对）</w:t>
            </w:r>
          </w:p>
        </w:tc>
        <w:tc>
          <w:tcPr>
            <w:tcW w:type="dxa" w:w="11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若干</w:t>
            </w:r>
          </w:p>
        </w:tc>
        <w:tc>
          <w:tcPr>
            <w:tcW w:type="dxa" w:w="155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配置项</w:t>
            </w:r>
          </w:p>
        </w:tc>
        <w:tc>
          <w:tcPr>
            <w:tcW w:type="dxa" w:w="310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无</w:t>
            </w:r>
          </w:p>
        </w:tc>
      </w:tr>
      <w:tr>
        <w:tc>
          <w:tcPr>
            <w:tcW w:type="dxa" w:w="155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attachments</w:t>
            </w:r>
          </w:p>
        </w:tc>
        <w:tc>
          <w:tcPr>
            <w:tcW w:type="dxa" w:w="232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合同附件索引</w:t>
            </w:r>
          </w:p>
        </w:tc>
        <w:tc>
          <w:tcPr>
            <w:tcW w:type="dxa" w:w="11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6</w:t>
            </w:r>
          </w:p>
        </w:tc>
        <w:tc>
          <w:tcPr>
            <w:tcW w:type="dxa" w:w="155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附件ID（UUID）</w:t>
            </w:r>
          </w:p>
        </w:tc>
        <w:tc>
          <w:tcPr>
            <w:tcW w:type="dxa" w:w="310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无（合同编号逻辑关联）</w:t>
            </w:r>
          </w:p>
        </w:tc>
      </w:tr>
      <w:tr>
        <w:tc>
          <w:tcPr>
            <w:tcW w:type="dxa" w:w="155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operation_logs</w:t>
            </w:r>
          </w:p>
        </w:tc>
        <w:tc>
          <w:tcPr>
            <w:tcW w:type="dxa" w:w="232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操作审计日志</w:t>
            </w:r>
          </w:p>
        </w:tc>
        <w:tc>
          <w:tcPr>
            <w:tcW w:type="dxa" w:w="11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331</w:t>
            </w:r>
          </w:p>
        </w:tc>
        <w:tc>
          <w:tcPr>
            <w:tcW w:type="dxa" w:w="155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id</w:t>
            </w:r>
          </w:p>
        </w:tc>
        <w:tc>
          <w:tcPr>
            <w:tcW w:type="dxa" w:w="310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无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2.2 contracts 表字段特征</w:t>
      </w:r>
    </w:p>
    <w:tbl>
      <w:tblPr>
        <w:tblStyle w:val="TableGrid"/>
        <w:tblW w:type="dxa" w:w="9638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835"/>
        <w:gridCol w:w="1417"/>
        <w:gridCol w:w="1417"/>
        <w:gridCol w:w="3969"/>
      </w:tblGrid>
      <w:tr>
        <w:tc>
          <w:tcPr>
            <w:tcW w:type="dxa" w:w="2835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字段</w:t>
            </w:r>
          </w:p>
        </w:tc>
        <w:tc>
          <w:tcPr>
            <w:tcW w:type="dxa" w:w="1417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类型</w:t>
            </w:r>
          </w:p>
        </w:tc>
        <w:tc>
          <w:tcPr>
            <w:tcW w:type="dxa" w:w="1417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非空/639</w:t>
            </w:r>
          </w:p>
        </w:tc>
        <w:tc>
          <w:tcPr>
            <w:tcW w:type="dxa" w:w="3969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规范问题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编号</w:t>
            </w:r>
          </w:p>
        </w:tc>
        <w:tc>
          <w:tcPr>
            <w:tcW w:type="dxa" w:w="141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TEXT</w:t>
            </w:r>
          </w:p>
        </w:tc>
        <w:tc>
          <w:tcPr>
            <w:tcW w:type="dxa" w:w="141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639</w:t>
            </w:r>
          </w:p>
        </w:tc>
        <w:tc>
          <w:tcPr>
            <w:tcW w:type="dxa" w:w="3969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无 UNIQUE 约束，唯一性仅应用层校验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项目分类</w:t>
            </w:r>
          </w:p>
        </w:tc>
        <w:tc>
          <w:tcPr>
            <w:tcW w:type="dxa" w:w="141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TEXT</w:t>
            </w:r>
          </w:p>
        </w:tc>
        <w:tc>
          <w:tcPr>
            <w:tcW w:type="dxa" w:w="141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639</w:t>
            </w:r>
          </w:p>
        </w:tc>
        <w:tc>
          <w:tcPr>
            <w:tcW w:type="dxa" w:w="3969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枚举无约束，实测 10 种写法（标准值 4 种）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采购方式</w:t>
            </w:r>
          </w:p>
        </w:tc>
        <w:tc>
          <w:tcPr>
            <w:tcW w:type="dxa" w:w="141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TEXT</w:t>
            </w:r>
          </w:p>
        </w:tc>
        <w:tc>
          <w:tcPr>
            <w:tcW w:type="dxa" w:w="141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638</w:t>
            </w:r>
          </w:p>
        </w:tc>
        <w:tc>
          <w:tcPr>
            <w:tcW w:type="dxa" w:w="3969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枚举无约束，实测 30+ 种写法（标准值 4 种）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合同金额（万元）</w:t>
            </w:r>
          </w:p>
        </w:tc>
        <w:tc>
          <w:tcPr>
            <w:tcW w:type="dxa" w:w="141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REAL</w:t>
            </w:r>
          </w:p>
        </w:tc>
        <w:tc>
          <w:tcPr>
            <w:tcW w:type="dxa" w:w="141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634</w:t>
            </w:r>
          </w:p>
        </w:tc>
        <w:tc>
          <w:tcPr>
            <w:tcW w:type="dxa" w:w="3969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无 CHECK（金额≥0）；存量 5 条缺失、43 条非数字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所属部门</w:t>
            </w:r>
          </w:p>
        </w:tc>
        <w:tc>
          <w:tcPr>
            <w:tcW w:type="dxa" w:w="141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TEXT</w:t>
            </w:r>
          </w:p>
        </w:tc>
        <w:tc>
          <w:tcPr>
            <w:tcW w:type="dxa" w:w="141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639</w:t>
            </w:r>
          </w:p>
        </w:tc>
        <w:tc>
          <w:tcPr>
            <w:tcW w:type="dxa" w:w="3969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复合属性“单位名称-科室名称”单串；71 条缺科室后缀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经办人</w:t>
            </w:r>
          </w:p>
        </w:tc>
        <w:tc>
          <w:tcPr>
            <w:tcW w:type="dxa" w:w="141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TEXT</w:t>
            </w:r>
          </w:p>
        </w:tc>
        <w:tc>
          <w:tcPr>
            <w:tcW w:type="dxa" w:w="141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636</w:t>
            </w:r>
          </w:p>
        </w:tc>
        <w:tc>
          <w:tcPr>
            <w:tcW w:type="dxa" w:w="3969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多值顿号分隔（如“曾富华、欧阳源涵”）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期限</w:t>
            </w:r>
          </w:p>
        </w:tc>
        <w:tc>
          <w:tcPr>
            <w:tcW w:type="dxa" w:w="141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TEXT</w:t>
            </w:r>
          </w:p>
        </w:tc>
        <w:tc>
          <w:tcPr>
            <w:tcW w:type="dxa" w:w="141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420</w:t>
            </w:r>
          </w:p>
        </w:tc>
        <w:tc>
          <w:tcPr>
            <w:tcW w:type="dxa" w:w="3969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自由文本，实测 200+ 种写法，无法结构化查询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未支付</w:t>
            </w:r>
          </w:p>
        </w:tc>
        <w:tc>
          <w:tcPr>
            <w:tcW w:type="dxa" w:w="141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REAL</w:t>
            </w:r>
          </w:p>
        </w:tc>
        <w:tc>
          <w:tcPr>
            <w:tcW w:type="dxa" w:w="141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584</w:t>
            </w:r>
          </w:p>
        </w:tc>
        <w:tc>
          <w:tcPr>
            <w:tcW w:type="dxa" w:w="3969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可由“合同金额 − 已支付”推导（冗余存储）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是否有签证或变更</w:t>
            </w:r>
          </w:p>
        </w:tc>
        <w:tc>
          <w:tcPr>
            <w:tcW w:type="dxa" w:w="141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TEXT</w:t>
            </w:r>
          </w:p>
        </w:tc>
        <w:tc>
          <w:tcPr>
            <w:tcW w:type="dxa" w:w="141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0</w:t>
            </w:r>
          </w:p>
        </w:tc>
        <w:tc>
          <w:tcPr>
            <w:tcW w:type="dxa" w:w="3969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全库为空（结构预留未启用）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签证或变更情况</w:t>
            </w:r>
          </w:p>
        </w:tc>
        <w:tc>
          <w:tcPr>
            <w:tcW w:type="dxa" w:w="141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TEXT</w:t>
            </w:r>
          </w:p>
        </w:tc>
        <w:tc>
          <w:tcPr>
            <w:tcW w:type="dxa" w:w="141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0</w:t>
            </w:r>
          </w:p>
        </w:tc>
        <w:tc>
          <w:tcPr>
            <w:tcW w:type="dxa" w:w="3969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同上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资金来源</w:t>
            </w:r>
          </w:p>
        </w:tc>
        <w:tc>
          <w:tcPr>
            <w:tcW w:type="dxa" w:w="141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TEXT</w:t>
            </w:r>
          </w:p>
        </w:tc>
        <w:tc>
          <w:tcPr>
            <w:tcW w:type="dxa" w:w="141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4</w:t>
            </w:r>
          </w:p>
        </w:tc>
        <w:tc>
          <w:tcPr>
            <w:tcW w:type="dxa" w:w="3969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枚举无约束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是否归档</w:t>
            </w:r>
          </w:p>
        </w:tc>
        <w:tc>
          <w:tcPr>
            <w:tcW w:type="dxa" w:w="141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TEXT</w:t>
            </w:r>
          </w:p>
        </w:tc>
        <w:tc>
          <w:tcPr>
            <w:tcW w:type="dxa" w:w="141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4</w:t>
            </w:r>
          </w:p>
        </w:tc>
        <w:tc>
          <w:tcPr>
            <w:tcW w:type="dxa" w:w="3969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枚举无约束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采购时间/开工/完工等</w:t>
            </w:r>
          </w:p>
        </w:tc>
        <w:tc>
          <w:tcPr>
            <w:tcW w:type="dxa" w:w="141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TEXT</w:t>
            </w:r>
          </w:p>
        </w:tc>
        <w:tc>
          <w:tcPr>
            <w:tcW w:type="dxa" w:w="141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623–637</w:t>
            </w:r>
          </w:p>
        </w:tc>
        <w:tc>
          <w:tcPr>
            <w:tcW w:type="dxa" w:w="3969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文本型日期，格式不统一</w:t>
            </w:r>
          </w:p>
        </w:tc>
      </w:tr>
    </w:tbl>
    <w:p>
      <w:pPr>
        <w:spacing w:after="40"/>
      </w:pPr>
    </w:p>
    <w:p>
      <w:pPr>
        <w:spacing w:before="80" w:after="160"/>
        <w:ind w:left="170" w:right="170"/>
        <w:shd w:val="clear" w:color="auto" w:fill="EAF3FB"/>
        <w:pBdr>
          <w:left w:val="single" w:sz="14" w:space="4" w:color="1E90FF"/>
        </w:pBdr>
      </w:pPr>
      <w:r>
        <w:rPr>
          <w:rFonts w:ascii="Calibri" w:hAnsi="Calibri" w:eastAsia="微软雅黑"/>
          <w:b w:val="0"/>
          <w:color w:val="1F4D78"/>
          <w:sz w:val="21"/>
        </w:rPr>
        <w:t>说明：以上枚举现状与《数据字典表》中“113 条非标准项目分类、409 条非标准采购方式、12 条非标准是否结算”的治理结论一致。</w:t>
      </w:r>
    </w:p>
    <w:p>
      <w:pPr>
        <w:pStyle w:val="Heading1"/>
      </w:pPr>
      <w:r>
        <w:rPr>
          <w:rFonts w:ascii="Calibri" w:hAnsi="Calibri" w:eastAsia="微软雅黑"/>
          <w:b/>
          <w:color w:val="2E74B5"/>
          <w:sz w:val="32"/>
        </w:rPr>
        <w:t>三、规范化问题诊断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3.1 第一范式（1NF）违规——属性非原子</w:t>
      </w:r>
    </w:p>
    <w:p>
      <w:pPr>
        <w:pStyle w:val="ListBullet"/>
      </w:pPr>
      <w:r>
        <w:rPr>
          <w:rFonts w:ascii="Calibri" w:hAnsi="Calibri" w:eastAsia="微软雅黑"/>
          <w:b/>
          <w:color w:val="333333"/>
          <w:sz w:val="22"/>
        </w:rPr>
        <w:t>经办人多值</w:t>
      </w:r>
      <w:r>
        <w:rPr>
          <w:rFonts w:ascii="Calibri" w:hAnsi="Calibri" w:eastAsia="微软雅黑"/>
          <w:b w:val="0"/>
          <w:color w:val="333333"/>
          <w:sz w:val="22"/>
        </w:rPr>
        <w:t>：</w:t>
      </w:r>
      <w:r>
        <w:rPr>
          <w:rFonts w:ascii="Consolas" w:hAnsi="Consolas" w:eastAsia="微软雅黑"/>
          <w:b w:val="0"/>
          <w:color w:val="333333"/>
          <w:sz w:val="21"/>
        </w:rPr>
        <w:t>contracts.经办人</w:t>
      </w:r>
      <w:r>
        <w:rPr>
          <w:rFonts w:ascii="Calibri" w:hAnsi="Calibri" w:eastAsia="微软雅黑"/>
          <w:b w:val="0"/>
          <w:color w:val="333333"/>
          <w:sz w:val="22"/>
        </w:rPr>
        <w:t xml:space="preserve"> 以中文顿号分隔多人（实测存在“曾富华、欧阳源涵”），无法按单人做数据库级查询、统计与权限判断，需依赖 </w:t>
      </w:r>
      <w:r>
        <w:rPr>
          <w:rFonts w:ascii="Consolas" w:hAnsi="Consolas" w:eastAsia="微软雅黑"/>
          <w:b w:val="0"/>
          <w:color w:val="333333"/>
          <w:sz w:val="21"/>
        </w:rPr>
        <w:t>_split_names()</w:t>
      </w:r>
      <w:r>
        <w:rPr>
          <w:rFonts w:ascii="Calibri" w:hAnsi="Calibri" w:eastAsia="微软雅黑"/>
          <w:b w:val="0"/>
          <w:color w:val="333333"/>
          <w:sz w:val="22"/>
        </w:rPr>
        <w:t xml:space="preserve"> 内存解析。</w:t>
      </w:r>
    </w:p>
    <w:p>
      <w:pPr>
        <w:pStyle w:val="ListBullet"/>
      </w:pPr>
      <w:r>
        <w:rPr>
          <w:rFonts w:ascii="Calibri" w:hAnsi="Calibri" w:eastAsia="微软雅黑"/>
          <w:b/>
          <w:color w:val="333333"/>
          <w:sz w:val="22"/>
        </w:rPr>
        <w:t>分管部门多值</w:t>
      </w:r>
      <w:r>
        <w:rPr>
          <w:rFonts w:ascii="Calibri" w:hAnsi="Calibri" w:eastAsia="微软雅黑"/>
          <w:b w:val="0"/>
          <w:color w:val="333333"/>
          <w:sz w:val="22"/>
        </w:rPr>
        <w:t>：</w:t>
      </w:r>
      <w:r>
        <w:rPr>
          <w:rFonts w:ascii="Consolas" w:hAnsi="Consolas" w:eastAsia="微软雅黑"/>
          <w:b w:val="0"/>
          <w:color w:val="333333"/>
          <w:sz w:val="21"/>
        </w:rPr>
        <w:t>users.分管部门</w:t>
      </w:r>
      <w:r>
        <w:rPr>
          <w:rFonts w:ascii="Calibri" w:hAnsi="Calibri" w:eastAsia="微软雅黑"/>
          <w:b w:val="0"/>
          <w:color w:val="333333"/>
          <w:sz w:val="22"/>
        </w:rPr>
        <w:t xml:space="preserve"> 同样以顿号分隔多个部门（实测“综合组、公车管理组”等多值样例），权限过滤需内存拆解。</w:t>
      </w:r>
    </w:p>
    <w:p>
      <w:pPr>
        <w:pStyle w:val="ListBullet"/>
      </w:pPr>
      <w:r>
        <w:rPr>
          <w:rFonts w:ascii="Calibri" w:hAnsi="Calibri" w:eastAsia="微软雅黑"/>
          <w:b/>
          <w:color w:val="333333"/>
          <w:sz w:val="22"/>
        </w:rPr>
        <w:t>所属部门复合属性</w:t>
      </w:r>
      <w:r>
        <w:rPr>
          <w:rFonts w:ascii="Calibri" w:hAnsi="Calibri" w:eastAsia="微软雅黑"/>
          <w:b w:val="0"/>
          <w:color w:val="333333"/>
          <w:sz w:val="22"/>
        </w:rPr>
        <w:t>：</w:t>
      </w:r>
      <w:r>
        <w:rPr>
          <w:rFonts w:ascii="Consolas" w:hAnsi="Consolas" w:eastAsia="微软雅黑"/>
          <w:b w:val="0"/>
          <w:color w:val="333333"/>
          <w:sz w:val="21"/>
        </w:rPr>
        <w:t>contracts.所属部门</w:t>
      </w:r>
      <w:r>
        <w:rPr>
          <w:rFonts w:ascii="Calibri" w:hAnsi="Calibri" w:eastAsia="微软雅黑"/>
          <w:b w:val="0"/>
          <w:color w:val="333333"/>
          <w:sz w:val="22"/>
        </w:rPr>
        <w:t>、</w:t>
      </w:r>
      <w:r>
        <w:rPr>
          <w:rFonts w:ascii="Consolas" w:hAnsi="Consolas" w:eastAsia="微软雅黑"/>
          <w:b w:val="0"/>
          <w:color w:val="333333"/>
          <w:sz w:val="21"/>
        </w:rPr>
        <w:t>users.所属部门</w:t>
      </w:r>
      <w:r>
        <w:rPr>
          <w:rFonts w:ascii="Calibri" w:hAnsi="Calibri" w:eastAsia="微软雅黑"/>
          <w:b w:val="0"/>
          <w:color w:val="333333"/>
          <w:sz w:val="22"/>
        </w:rPr>
        <w:t xml:space="preserve"> 将“单位名称”与“科室名称”两个属性拼为单串“单位名称-科室名称”，且存量存在 71 条缺科室后缀的不规范值。</w:t>
      </w:r>
    </w:p>
    <w:p>
      <w:pPr>
        <w:pStyle w:val="ListBullet"/>
      </w:pPr>
      <w:r>
        <w:rPr>
          <w:rFonts w:ascii="Calibri" w:hAnsi="Calibri" w:eastAsia="微软雅黑"/>
          <w:b/>
          <w:color w:val="333333"/>
          <w:sz w:val="22"/>
        </w:rPr>
        <w:t>期限无结构</w:t>
      </w:r>
      <w:r>
        <w:rPr>
          <w:rFonts w:ascii="Calibri" w:hAnsi="Calibri" w:eastAsia="微软雅黑"/>
          <w:b w:val="0"/>
          <w:color w:val="333333"/>
          <w:sz w:val="22"/>
        </w:rPr>
        <w:t>：</w:t>
      </w:r>
      <w:r>
        <w:rPr>
          <w:rFonts w:ascii="Consolas" w:hAnsi="Consolas" w:eastAsia="微软雅黑"/>
          <w:b w:val="0"/>
          <w:color w:val="333333"/>
          <w:sz w:val="21"/>
        </w:rPr>
        <w:t>contracts.期限</w:t>
      </w:r>
      <w:r>
        <w:rPr>
          <w:rFonts w:ascii="Calibri" w:hAnsi="Calibri" w:eastAsia="微软雅黑"/>
          <w:b w:val="0"/>
          <w:color w:val="333333"/>
          <w:sz w:val="22"/>
        </w:rPr>
        <w:t xml:space="preserve"> 为自由文本，实测并存 </w:t>
      </w:r>
      <w:r>
        <w:rPr>
          <w:rFonts w:ascii="Consolas" w:hAnsi="Consolas" w:eastAsia="微软雅黑"/>
          <w:b w:val="0"/>
          <w:color w:val="333333"/>
          <w:sz w:val="21"/>
        </w:rPr>
        <w:t>2021.1.21-2022.1.30</w:t>
      </w:r>
      <w:r>
        <w:rPr>
          <w:rFonts w:ascii="Calibri" w:hAnsi="Calibri" w:eastAsia="微软雅黑"/>
          <w:b w:val="0"/>
          <w:color w:val="333333"/>
          <w:sz w:val="22"/>
        </w:rPr>
        <w:t>、</w:t>
      </w:r>
      <w:r>
        <w:rPr>
          <w:rFonts w:ascii="Consolas" w:hAnsi="Consolas" w:eastAsia="微软雅黑"/>
          <w:b w:val="0"/>
          <w:color w:val="333333"/>
          <w:sz w:val="21"/>
        </w:rPr>
        <w:t>2021年10月28日-2022年10月27日</w:t>
      </w:r>
      <w:r>
        <w:rPr>
          <w:rFonts w:ascii="Calibri" w:hAnsi="Calibri" w:eastAsia="微软雅黑"/>
          <w:b w:val="0"/>
          <w:color w:val="333333"/>
          <w:sz w:val="22"/>
        </w:rPr>
        <w:t>、</w:t>
      </w:r>
      <w:r>
        <w:rPr>
          <w:rFonts w:ascii="Consolas" w:hAnsi="Consolas" w:eastAsia="微软雅黑"/>
          <w:b w:val="0"/>
          <w:color w:val="333333"/>
          <w:sz w:val="21"/>
        </w:rPr>
        <w:t>自2022年03月04日至2022年03月07日止</w:t>
      </w:r>
      <w:r>
        <w:rPr>
          <w:rFonts w:ascii="Calibri" w:hAnsi="Calibri" w:eastAsia="微软雅黑"/>
          <w:b w:val="0"/>
          <w:color w:val="333333"/>
          <w:sz w:val="22"/>
        </w:rPr>
        <w:t>、</w:t>
      </w:r>
      <w:r>
        <w:rPr>
          <w:rFonts w:ascii="Consolas" w:hAnsi="Consolas" w:eastAsia="微软雅黑"/>
          <w:b w:val="0"/>
          <w:color w:val="333333"/>
          <w:sz w:val="21"/>
        </w:rPr>
        <w:t>质保期一年</w:t>
      </w:r>
      <w:r>
        <w:rPr>
          <w:rFonts w:ascii="Calibri" w:hAnsi="Calibri" w:eastAsia="微软雅黑"/>
          <w:b w:val="0"/>
          <w:color w:val="333333"/>
          <w:sz w:val="22"/>
        </w:rPr>
        <w:t xml:space="preserve"> 等 200+ 种写法，无法按起止日期查询、统计或校验。</w:t>
      </w:r>
    </w:p>
    <w:p>
      <w:pPr>
        <w:pStyle w:val="ListBullet"/>
      </w:pPr>
      <w:r>
        <w:rPr>
          <w:rFonts w:ascii="Calibri" w:hAnsi="Calibri" w:eastAsia="微软雅黑"/>
          <w:b/>
          <w:color w:val="333333"/>
          <w:sz w:val="22"/>
        </w:rPr>
        <w:t>子属性平铺</w:t>
      </w:r>
      <w:r>
        <w:rPr>
          <w:rFonts w:ascii="Calibri" w:hAnsi="Calibri" w:eastAsia="微软雅黑"/>
          <w:b w:val="0"/>
          <w:color w:val="333333"/>
          <w:sz w:val="22"/>
        </w:rPr>
        <w:t>：</w:t>
      </w:r>
      <w:r>
        <w:rPr>
          <w:rFonts w:ascii="Consolas" w:hAnsi="Consolas" w:eastAsia="微软雅黑"/>
          <w:b w:val="0"/>
          <w:color w:val="333333"/>
          <w:sz w:val="21"/>
        </w:rPr>
        <w:t>签证或变更情况</w:t>
      </w:r>
      <w:r>
        <w:rPr>
          <w:rFonts w:ascii="Calibri" w:hAnsi="Calibri" w:eastAsia="微软雅黑"/>
          <w:b w:val="0"/>
          <w:color w:val="333333"/>
          <w:sz w:val="22"/>
        </w:rPr>
        <w:t xml:space="preserve"> 依赖 </w:t>
      </w:r>
      <w:r>
        <w:rPr>
          <w:rFonts w:ascii="Consolas" w:hAnsi="Consolas" w:eastAsia="微软雅黑"/>
          <w:b w:val="0"/>
          <w:color w:val="333333"/>
          <w:sz w:val="21"/>
        </w:rPr>
        <w:t>是否有签证或变更</w:t>
      </w:r>
      <w:r>
        <w:rPr>
          <w:rFonts w:ascii="Calibri" w:hAnsi="Calibri" w:eastAsia="微软雅黑"/>
          <w:b w:val="0"/>
          <w:color w:val="333333"/>
          <w:sz w:val="22"/>
        </w:rPr>
        <w:t>（子属性放平表），且两列全库为空，属“结构预留但未启用”的死列。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3.2 第二、第三范式（2NF/3NF）违规——依赖与传递依赖</w:t>
      </w:r>
    </w:p>
    <w:p>
      <w:pPr>
        <w:pStyle w:val="ListBullet"/>
      </w:pPr>
      <w:r>
        <w:rPr>
          <w:rFonts w:ascii="Calibri" w:hAnsi="Calibri" w:eastAsia="微软雅黑"/>
          <w:b/>
          <w:color w:val="333333"/>
          <w:sz w:val="22"/>
        </w:rPr>
        <w:t>派生字段冗余</w:t>
      </w:r>
      <w:r>
        <w:rPr>
          <w:rFonts w:ascii="Calibri" w:hAnsi="Calibri" w:eastAsia="微软雅黑"/>
          <w:b w:val="0"/>
          <w:color w:val="333333"/>
          <w:sz w:val="22"/>
        </w:rPr>
        <w:t>：</w:t>
      </w:r>
      <w:r>
        <w:rPr>
          <w:rFonts w:ascii="Consolas" w:hAnsi="Consolas" w:eastAsia="微软雅黑"/>
          <w:b w:val="0"/>
          <w:color w:val="333333"/>
          <w:sz w:val="21"/>
        </w:rPr>
        <w:t>未支付</w:t>
      </w:r>
      <w:r>
        <w:rPr>
          <w:rFonts w:ascii="Calibri" w:hAnsi="Calibri" w:eastAsia="微软雅黑"/>
          <w:b w:val="0"/>
          <w:color w:val="333333"/>
          <w:sz w:val="22"/>
        </w:rPr>
        <w:t xml:space="preserve"> 可由“合同金额 − 已支付”推导（传递依赖），且与“结算金额、已支付”存在勾稽矛盾风险；现系统不得不在多处维护“优先取字段、为空则计算”的双口径。</w:t>
      </w:r>
    </w:p>
    <w:p>
      <w:pPr>
        <w:pStyle w:val="ListBullet"/>
      </w:pPr>
      <w:r>
        <w:rPr>
          <w:rFonts w:ascii="Calibri" w:hAnsi="Calibri" w:eastAsia="微软雅黑"/>
          <w:b/>
          <w:color w:val="333333"/>
          <w:sz w:val="22"/>
        </w:rPr>
        <w:t>字符串外键</w:t>
      </w:r>
      <w:r>
        <w:rPr>
          <w:rFonts w:ascii="Calibri" w:hAnsi="Calibri" w:eastAsia="微软雅黑"/>
          <w:b w:val="0"/>
          <w:color w:val="333333"/>
          <w:sz w:val="22"/>
        </w:rPr>
        <w:t>：</w:t>
      </w:r>
      <w:r>
        <w:rPr>
          <w:rFonts w:ascii="Consolas" w:hAnsi="Consolas" w:eastAsia="微软雅黑"/>
          <w:b w:val="0"/>
          <w:color w:val="333333"/>
          <w:sz w:val="21"/>
        </w:rPr>
        <w:t>contracts.所属部门</w:t>
      </w:r>
      <w:r>
        <w:rPr>
          <w:rFonts w:ascii="Calibri" w:hAnsi="Calibri" w:eastAsia="微软雅黑"/>
          <w:b w:val="0"/>
          <w:color w:val="333333"/>
          <w:sz w:val="22"/>
        </w:rPr>
        <w:t>、</w:t>
      </w:r>
      <w:r>
        <w:rPr>
          <w:rFonts w:ascii="Consolas" w:hAnsi="Consolas" w:eastAsia="微软雅黑"/>
          <w:b w:val="0"/>
          <w:color w:val="333333"/>
          <w:sz w:val="21"/>
        </w:rPr>
        <w:t>users.所属部门</w:t>
      </w:r>
      <w:r>
        <w:rPr>
          <w:rFonts w:ascii="Calibri" w:hAnsi="Calibri" w:eastAsia="微软雅黑"/>
          <w:b w:val="0"/>
          <w:color w:val="333333"/>
          <w:sz w:val="22"/>
        </w:rPr>
        <w:t>、</w:t>
      </w:r>
      <w:r>
        <w:rPr>
          <w:rFonts w:ascii="Consolas" w:hAnsi="Consolas" w:eastAsia="微软雅黑"/>
          <w:b w:val="0"/>
          <w:color w:val="333333"/>
          <w:sz w:val="21"/>
        </w:rPr>
        <w:t>users.分管部门</w:t>
      </w:r>
      <w:r>
        <w:rPr>
          <w:rFonts w:ascii="Calibri" w:hAnsi="Calibri" w:eastAsia="微软雅黑"/>
          <w:b w:val="0"/>
          <w:color w:val="333333"/>
          <w:sz w:val="22"/>
        </w:rPr>
        <w:t>、</w:t>
      </w:r>
      <w:r>
        <w:rPr>
          <w:rFonts w:ascii="Consolas" w:hAnsi="Consolas" w:eastAsia="微软雅黑"/>
          <w:b w:val="0"/>
          <w:color w:val="333333"/>
          <w:sz w:val="21"/>
        </w:rPr>
        <w:t>contracts.归档人</w:t>
      </w:r>
      <w:r>
        <w:rPr>
          <w:rFonts w:ascii="Calibri" w:hAnsi="Calibri" w:eastAsia="微软雅黑"/>
          <w:b w:val="0"/>
          <w:color w:val="333333"/>
          <w:sz w:val="22"/>
        </w:rPr>
        <w:t>、</w:t>
      </w:r>
      <w:r>
        <w:rPr>
          <w:rFonts w:ascii="Consolas" w:hAnsi="Consolas" w:eastAsia="微软雅黑"/>
          <w:b w:val="0"/>
          <w:color w:val="333333"/>
          <w:sz w:val="21"/>
        </w:rPr>
        <w:t>attachments.上传人</w:t>
      </w:r>
      <w:r>
        <w:rPr>
          <w:rFonts w:ascii="Calibri" w:hAnsi="Calibri" w:eastAsia="微软雅黑"/>
          <w:b w:val="0"/>
          <w:color w:val="333333"/>
          <w:sz w:val="22"/>
        </w:rPr>
        <w:t xml:space="preserve"> 均为对 departments/users 的“字符串外键”，无数据库约束保障，删除部门或用户可能产生悬空引用。</w:t>
      </w:r>
    </w:p>
    <w:p>
      <w:pPr>
        <w:pStyle w:val="ListBullet"/>
      </w:pPr>
      <w:r>
        <w:rPr>
          <w:rFonts w:ascii="Calibri" w:hAnsi="Calibri" w:eastAsia="微软雅黑"/>
          <w:b/>
          <w:color w:val="333333"/>
          <w:sz w:val="22"/>
        </w:rPr>
        <w:t>附件引用不稳定</w:t>
      </w:r>
      <w:r>
        <w:rPr>
          <w:rFonts w:ascii="Calibri" w:hAnsi="Calibri" w:eastAsia="微软雅黑"/>
          <w:b w:val="0"/>
          <w:color w:val="333333"/>
          <w:sz w:val="22"/>
        </w:rPr>
        <w:t>：</w:t>
      </w:r>
      <w:r>
        <w:rPr>
          <w:rFonts w:ascii="Consolas" w:hAnsi="Consolas" w:eastAsia="微软雅黑"/>
          <w:b w:val="0"/>
          <w:color w:val="333333"/>
          <w:sz w:val="21"/>
        </w:rPr>
        <w:t>attachments.合同编号</w:t>
      </w:r>
      <w:r>
        <w:rPr>
          <w:rFonts w:ascii="Calibri" w:hAnsi="Calibri" w:eastAsia="微软雅黑"/>
          <w:b w:val="0"/>
          <w:color w:val="333333"/>
          <w:sz w:val="22"/>
        </w:rPr>
        <w:t xml:space="preserve"> 逻辑关联 </w:t>
      </w:r>
      <w:r>
        <w:rPr>
          <w:rFonts w:ascii="Consolas" w:hAnsi="Consolas" w:eastAsia="微软雅黑"/>
          <w:b w:val="0"/>
          <w:color w:val="333333"/>
          <w:sz w:val="21"/>
        </w:rPr>
        <w:t>contracts.编号</w:t>
      </w:r>
      <w:r>
        <w:rPr>
          <w:rFonts w:ascii="Calibri" w:hAnsi="Calibri" w:eastAsia="微软雅黑"/>
          <w:b w:val="0"/>
          <w:color w:val="333333"/>
          <w:sz w:val="22"/>
        </w:rPr>
        <w:t>，合同编号一旦修改需应用层同步改附件（现有代码已实现该“手工维护引用完整性”逻辑），存在遗漏风险。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3.3 其他数据库设计规范问题</w:t>
      </w:r>
    </w:p>
    <w:p>
      <w:pPr>
        <w:pStyle w:val="ListBullet"/>
      </w:pPr>
      <w:r>
        <w:rPr>
          <w:rFonts w:ascii="Calibri" w:hAnsi="Calibri" w:eastAsia="微软雅黑"/>
          <w:b/>
          <w:color w:val="333333"/>
          <w:sz w:val="22"/>
        </w:rPr>
        <w:t>无约束兜底</w:t>
      </w:r>
      <w:r>
        <w:rPr>
          <w:rFonts w:ascii="Calibri" w:hAnsi="Calibri" w:eastAsia="微软雅黑"/>
          <w:b w:val="0"/>
          <w:color w:val="333333"/>
          <w:sz w:val="22"/>
        </w:rPr>
        <w:t>：全库无任何索引、外键、CHECK、NOT NULL；</w:t>
      </w:r>
      <w:r>
        <w:rPr>
          <w:rFonts w:ascii="Consolas" w:hAnsi="Consolas" w:eastAsia="微软雅黑"/>
          <w:b w:val="0"/>
          <w:color w:val="333333"/>
          <w:sz w:val="21"/>
        </w:rPr>
        <w:t>contracts.编号</w:t>
      </w:r>
      <w:r>
        <w:rPr>
          <w:rFonts w:ascii="Calibri" w:hAnsi="Calibri" w:eastAsia="微软雅黑"/>
          <w:b w:val="0"/>
          <w:color w:val="333333"/>
          <w:sz w:val="22"/>
        </w:rPr>
        <w:t xml:space="preserve"> 唯一性仅在应用层校验，绕过 API 写入即可能破坏；</w:t>
      </w:r>
      <w:r>
        <w:rPr>
          <w:rFonts w:ascii="Consolas" w:hAnsi="Consolas" w:eastAsia="微软雅黑"/>
          <w:b w:val="0"/>
          <w:color w:val="333333"/>
          <w:sz w:val="21"/>
        </w:rPr>
        <w:t>departments</w:t>
      </w:r>
      <w:r>
        <w:rPr>
          <w:rFonts w:ascii="Calibri" w:hAnsi="Calibri" w:eastAsia="微软雅黑"/>
          <w:b w:val="0"/>
          <w:color w:val="333333"/>
          <w:sz w:val="22"/>
        </w:rPr>
        <w:t xml:space="preserve"> 无主键。</w:t>
      </w:r>
    </w:p>
    <w:p>
      <w:pPr>
        <w:pStyle w:val="ListBullet"/>
      </w:pPr>
      <w:r>
        <w:rPr>
          <w:rFonts w:ascii="Calibri" w:hAnsi="Calibri" w:eastAsia="微软雅黑"/>
          <w:b/>
          <w:color w:val="333333"/>
          <w:sz w:val="22"/>
        </w:rPr>
        <w:t>中文列名入库</w:t>
      </w:r>
      <w:r>
        <w:rPr>
          <w:rFonts w:ascii="Calibri" w:hAnsi="Calibri" w:eastAsia="微软雅黑"/>
          <w:b w:val="0"/>
          <w:color w:val="333333"/>
          <w:sz w:val="22"/>
        </w:rPr>
        <w:t>：全部业务列名为中文（如“合同金额（万元）”），所有 SQL 需引号包裹，后续改名、SQL 化统计、第三方工具对接成本高。</w:t>
      </w:r>
    </w:p>
    <w:p>
      <w:pPr>
        <w:pStyle w:val="ListBullet"/>
      </w:pPr>
      <w:r>
        <w:rPr>
          <w:rFonts w:ascii="Calibri" w:hAnsi="Calibri" w:eastAsia="微软雅黑"/>
          <w:b/>
          <w:color w:val="333333"/>
          <w:sz w:val="22"/>
        </w:rPr>
        <w:t>类型不规范</w:t>
      </w:r>
      <w:r>
        <w:rPr>
          <w:rFonts w:ascii="Calibri" w:hAnsi="Calibri" w:eastAsia="微软雅黑"/>
          <w:b w:val="0"/>
          <w:color w:val="333333"/>
          <w:sz w:val="22"/>
        </w:rPr>
        <w:t>：</w:t>
      </w:r>
      <w:r>
        <w:rPr>
          <w:rFonts w:ascii="Consolas" w:hAnsi="Consolas" w:eastAsia="微软雅黑"/>
          <w:b w:val="0"/>
          <w:color w:val="333333"/>
          <w:sz w:val="21"/>
        </w:rPr>
        <w:t>attachments.文件大小</w:t>
      </w:r>
      <w:r>
        <w:rPr>
          <w:rFonts w:ascii="Calibri" w:hAnsi="Calibri" w:eastAsia="微软雅黑"/>
          <w:b w:val="0"/>
          <w:color w:val="333333"/>
          <w:sz w:val="22"/>
        </w:rPr>
        <w:t xml:space="preserve"> 存 TEXT（应为 INTEGER）；</w:t>
      </w:r>
      <w:r>
        <w:rPr>
          <w:rFonts w:ascii="Consolas" w:hAnsi="Consolas" w:eastAsia="微软雅黑"/>
          <w:b w:val="0"/>
          <w:color w:val="333333"/>
          <w:sz w:val="21"/>
        </w:rPr>
        <w:t>决策的招标控制价</w:t>
      </w:r>
      <w:r>
        <w:rPr>
          <w:rFonts w:ascii="Calibri" w:hAnsi="Calibri" w:eastAsia="微软雅黑"/>
          <w:b w:val="0"/>
          <w:color w:val="333333"/>
          <w:sz w:val="22"/>
        </w:rPr>
        <w:t>、</w:t>
      </w:r>
      <w:r>
        <w:rPr>
          <w:rFonts w:ascii="Consolas" w:hAnsi="Consolas" w:eastAsia="微软雅黑"/>
          <w:b w:val="0"/>
          <w:color w:val="333333"/>
          <w:sz w:val="21"/>
        </w:rPr>
        <w:t>合同金额（万元）</w:t>
      </w:r>
      <w:r>
        <w:rPr>
          <w:rFonts w:ascii="Calibri" w:hAnsi="Calibri" w:eastAsia="微软雅黑"/>
          <w:b w:val="0"/>
          <w:color w:val="333333"/>
          <w:sz w:val="22"/>
        </w:rPr>
        <w:t xml:space="preserve"> 等数值列部分历史值为文本（数据字典标注 43 条非数字）；日期列均为 TEXT 且格式混杂。</w:t>
      </w:r>
    </w:p>
    <w:p>
      <w:pPr>
        <w:pStyle w:val="ListBullet"/>
      </w:pPr>
      <w:r>
        <w:rPr>
          <w:rFonts w:ascii="Calibri" w:hAnsi="Calibri" w:eastAsia="微软雅黑"/>
          <w:b/>
          <w:color w:val="333333"/>
          <w:sz w:val="22"/>
        </w:rPr>
        <w:t>枚举无字典表</w:t>
      </w:r>
      <w:r>
        <w:rPr>
          <w:rFonts w:ascii="Calibri" w:hAnsi="Calibri" w:eastAsia="微软雅黑"/>
          <w:b w:val="0"/>
          <w:color w:val="333333"/>
          <w:sz w:val="22"/>
        </w:rPr>
        <w:t>：项目分类、采购方式、是否结算、资金来源等均无枚举字典表与约束，存量存在大量非标准写法。</w:t>
      </w:r>
    </w:p>
    <w:p>
      <w:pPr>
        <w:pStyle w:val="ListBullet"/>
      </w:pPr>
      <w:r>
        <w:rPr>
          <w:rFonts w:ascii="Calibri" w:hAnsi="Calibri" w:eastAsia="微软雅黑"/>
          <w:b/>
          <w:color w:val="333333"/>
          <w:sz w:val="22"/>
        </w:rPr>
        <w:t>无版本化迁移机制</w:t>
      </w:r>
      <w:r>
        <w:rPr>
          <w:rFonts w:ascii="Calibri" w:hAnsi="Calibri" w:eastAsia="微软雅黑"/>
          <w:b w:val="0"/>
          <w:color w:val="333333"/>
          <w:sz w:val="22"/>
        </w:rPr>
        <w:t xml:space="preserve">：无 schema 版本表，历史结构变更靠 </w:t>
      </w:r>
      <w:r>
        <w:rPr>
          <w:rFonts w:ascii="Consolas" w:hAnsi="Consolas" w:eastAsia="微软雅黑"/>
          <w:b w:val="0"/>
          <w:color w:val="333333"/>
          <w:sz w:val="21"/>
        </w:rPr>
        <w:t>init_db()</w:t>
      </w:r>
      <w:r>
        <w:rPr>
          <w:rFonts w:ascii="Calibri" w:hAnsi="Calibri" w:eastAsia="微软雅黑"/>
          <w:b w:val="0"/>
          <w:color w:val="333333"/>
          <w:sz w:val="22"/>
        </w:rPr>
        <w:t xml:space="preserve"> 内 ad-hoc </w:t>
      </w:r>
      <w:r>
        <w:rPr>
          <w:rFonts w:ascii="Consolas" w:hAnsi="Consolas" w:eastAsia="微软雅黑"/>
          <w:b w:val="0"/>
          <w:color w:val="333333"/>
          <w:sz w:val="21"/>
        </w:rPr>
        <w:t>ALTER TABLE</w:t>
      </w:r>
      <w:r>
        <w:rPr>
          <w:rFonts w:ascii="Calibri" w:hAnsi="Calibri" w:eastAsia="微软雅黑"/>
          <w:b w:val="0"/>
          <w:color w:val="333333"/>
          <w:sz w:val="22"/>
        </w:rPr>
        <w:t xml:space="preserve"> 拼装，不利于审计与回滚。</w:t>
      </w:r>
    </w:p>
    <w:p>
      <w:pPr>
        <w:pStyle w:val="ListBullet"/>
      </w:pPr>
      <w:r>
        <w:rPr>
          <w:rFonts w:ascii="Calibri" w:hAnsi="Calibri" w:eastAsia="微软雅黑"/>
          <w:b/>
          <w:color w:val="333333"/>
          <w:sz w:val="22"/>
        </w:rPr>
        <w:t>无记录级时间戳</w:t>
      </w:r>
      <w:r>
        <w:rPr>
          <w:rFonts w:ascii="Calibri" w:hAnsi="Calibri" w:eastAsia="微软雅黑"/>
          <w:b w:val="0"/>
          <w:color w:val="333333"/>
          <w:sz w:val="22"/>
        </w:rPr>
        <w:t>：业务表无 created_at/updated_at，记录变更只能依赖 operation_logs 审计。</w:t>
      </w:r>
    </w:p>
    <w:p>
      <w:pPr>
        <w:pStyle w:val="Heading1"/>
      </w:pPr>
      <w:r>
        <w:rPr>
          <w:rFonts w:ascii="Calibri" w:hAnsi="Calibri" w:eastAsia="微软雅黑"/>
          <w:b/>
          <w:color w:val="2E74B5"/>
          <w:sz w:val="32"/>
        </w:rPr>
        <w:t>四、修改建议（分三档）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4.1 档位 A：完整性规范化（建议必做，系统功能基本不动）</w:t>
      </w:r>
    </w:p>
    <w:p>
      <w:pPr>
        <w:pStyle w:val="ListBullet"/>
      </w:pPr>
      <w:r>
        <w:rPr>
          <w:rFonts w:ascii="Consolas" w:hAnsi="Consolas" w:eastAsia="微软雅黑"/>
          <w:b w:val="0"/>
          <w:color w:val="333333"/>
          <w:sz w:val="21"/>
        </w:rPr>
        <w:t>contracts.编号</w:t>
      </w:r>
      <w:r>
        <w:rPr>
          <w:rFonts w:ascii="Calibri" w:hAnsi="Calibri" w:eastAsia="微软雅黑"/>
          <w:b w:val="0"/>
          <w:color w:val="333333"/>
          <w:sz w:val="22"/>
        </w:rPr>
        <w:t xml:space="preserve"> 建 UNIQUE 索引；</w:t>
      </w:r>
      <w:r>
        <w:rPr>
          <w:rFonts w:ascii="Consolas" w:hAnsi="Consolas" w:eastAsia="微软雅黑"/>
          <w:b w:val="0"/>
          <w:color w:val="333333"/>
          <w:sz w:val="21"/>
        </w:rPr>
        <w:t>departments</w:t>
      </w:r>
      <w:r>
        <w:rPr>
          <w:rFonts w:ascii="Calibri" w:hAnsi="Calibri" w:eastAsia="微软雅黑"/>
          <w:b w:val="0"/>
          <w:color w:val="333333"/>
          <w:sz w:val="22"/>
        </w:rPr>
        <w:t xml:space="preserve"> 建复合主键（单位名称+科室名称）。</w:t>
      </w:r>
    </w:p>
    <w:p>
      <w:pPr>
        <w:pStyle w:val="ListBullet"/>
      </w:pPr>
      <w:r>
        <w:rPr>
          <w:rFonts w:ascii="Calibri" w:hAnsi="Calibri" w:eastAsia="微软雅黑"/>
          <w:b w:val="0"/>
          <w:color w:val="333333"/>
          <w:sz w:val="22"/>
        </w:rPr>
        <w:t xml:space="preserve">为 </w:t>
      </w:r>
      <w:r>
        <w:rPr>
          <w:rFonts w:ascii="Consolas" w:hAnsi="Consolas" w:eastAsia="微软雅黑"/>
          <w:b w:val="0"/>
          <w:color w:val="333333"/>
          <w:sz w:val="21"/>
        </w:rPr>
        <w:t>attachments→contracts</w:t>
      </w:r>
      <w:r>
        <w:rPr>
          <w:rFonts w:ascii="Calibri" w:hAnsi="Calibri" w:eastAsia="微软雅黑"/>
          <w:b w:val="0"/>
          <w:color w:val="333333"/>
          <w:sz w:val="22"/>
        </w:rPr>
        <w:t>、</w:t>
      </w:r>
      <w:r>
        <w:rPr>
          <w:rFonts w:ascii="Consolas" w:hAnsi="Consolas" w:eastAsia="微软雅黑"/>
          <w:b w:val="0"/>
          <w:color w:val="333333"/>
          <w:sz w:val="21"/>
        </w:rPr>
        <w:t>users→departments</w:t>
      </w:r>
      <w:r>
        <w:rPr>
          <w:rFonts w:ascii="Calibri" w:hAnsi="Calibri" w:eastAsia="微软雅黑"/>
          <w:b w:val="0"/>
          <w:color w:val="333333"/>
          <w:sz w:val="22"/>
        </w:rPr>
        <w:t>、</w:t>
      </w:r>
      <w:r>
        <w:rPr>
          <w:rFonts w:ascii="Consolas" w:hAnsi="Consolas" w:eastAsia="微软雅黑"/>
          <w:b w:val="0"/>
          <w:color w:val="333333"/>
          <w:sz w:val="21"/>
        </w:rPr>
        <w:t>contracts→departments</w:t>
      </w:r>
      <w:r>
        <w:rPr>
          <w:rFonts w:ascii="Calibri" w:hAnsi="Calibri" w:eastAsia="微软雅黑"/>
          <w:b w:val="0"/>
          <w:color w:val="333333"/>
          <w:sz w:val="22"/>
        </w:rPr>
        <w:t xml:space="preserve"> 建立外键（SQLite 需开启 </w:t>
      </w:r>
      <w:r>
        <w:rPr>
          <w:rFonts w:ascii="Consolas" w:hAnsi="Consolas" w:eastAsia="微软雅黑"/>
          <w:b w:val="0"/>
          <w:color w:val="333333"/>
          <w:sz w:val="21"/>
        </w:rPr>
        <w:t>PRAGMA foreign_keys</w:t>
      </w:r>
      <w:r>
        <w:rPr>
          <w:rFonts w:ascii="Calibri" w:hAnsi="Calibri" w:eastAsia="微软雅黑"/>
          <w:b w:val="0"/>
          <w:color w:val="333333"/>
          <w:sz w:val="22"/>
        </w:rPr>
        <w:t>，删除部门/用户前先校验引用）。</w:t>
      </w:r>
    </w:p>
    <w:p>
      <w:pPr>
        <w:pStyle w:val="ListBullet"/>
      </w:pPr>
      <w:r>
        <w:rPr>
          <w:rFonts w:ascii="Calibri" w:hAnsi="Calibri" w:eastAsia="微软雅黑"/>
          <w:b w:val="0"/>
          <w:color w:val="333333"/>
          <w:sz w:val="22"/>
        </w:rPr>
        <w:t>增加索引：</w:t>
      </w:r>
      <w:r>
        <w:rPr>
          <w:rFonts w:ascii="Consolas" w:hAnsi="Consolas" w:eastAsia="微软雅黑"/>
          <w:b w:val="0"/>
          <w:color w:val="333333"/>
          <w:sz w:val="21"/>
        </w:rPr>
        <w:t>编号</w:t>
      </w:r>
      <w:r>
        <w:rPr>
          <w:rFonts w:ascii="Calibri" w:hAnsi="Calibri" w:eastAsia="微软雅黑"/>
          <w:b w:val="0"/>
          <w:color w:val="333333"/>
          <w:sz w:val="22"/>
        </w:rPr>
        <w:t>、</w:t>
      </w:r>
      <w:r>
        <w:rPr>
          <w:rFonts w:ascii="Consolas" w:hAnsi="Consolas" w:eastAsia="微软雅黑"/>
          <w:b w:val="0"/>
          <w:color w:val="333333"/>
          <w:sz w:val="21"/>
        </w:rPr>
        <w:t>所属部门</w:t>
      </w:r>
      <w:r>
        <w:rPr>
          <w:rFonts w:ascii="Calibri" w:hAnsi="Calibri" w:eastAsia="微软雅黑"/>
          <w:b w:val="0"/>
          <w:color w:val="333333"/>
          <w:sz w:val="22"/>
        </w:rPr>
        <w:t>、</w:t>
      </w:r>
      <w:r>
        <w:rPr>
          <w:rFonts w:ascii="Consolas" w:hAnsi="Consolas" w:eastAsia="微软雅黑"/>
          <w:b w:val="0"/>
          <w:color w:val="333333"/>
          <w:sz w:val="21"/>
        </w:rPr>
        <w:t>经办人</w:t>
      </w:r>
      <w:r>
        <w:rPr>
          <w:rFonts w:ascii="Calibri" w:hAnsi="Calibri" w:eastAsia="微软雅黑"/>
          <w:b w:val="0"/>
          <w:color w:val="333333"/>
          <w:sz w:val="22"/>
        </w:rPr>
        <w:t>、</w:t>
      </w:r>
      <w:r>
        <w:rPr>
          <w:rFonts w:ascii="Consolas" w:hAnsi="Consolas" w:eastAsia="微软雅黑"/>
          <w:b w:val="0"/>
          <w:color w:val="333333"/>
          <w:sz w:val="21"/>
        </w:rPr>
        <w:t>采购时间</w:t>
      </w:r>
      <w:r>
        <w:rPr>
          <w:rFonts w:ascii="Calibri" w:hAnsi="Calibri" w:eastAsia="微软雅黑"/>
          <w:b w:val="0"/>
          <w:color w:val="333333"/>
          <w:sz w:val="22"/>
        </w:rPr>
        <w:t>、</w:t>
      </w:r>
      <w:r>
        <w:rPr>
          <w:rFonts w:ascii="Consolas" w:hAnsi="Consolas" w:eastAsia="微软雅黑"/>
          <w:b w:val="0"/>
          <w:color w:val="333333"/>
          <w:sz w:val="21"/>
        </w:rPr>
        <w:t>下次招采时间</w:t>
      </w:r>
      <w:r>
        <w:rPr>
          <w:rFonts w:ascii="Calibri" w:hAnsi="Calibri" w:eastAsia="微软雅黑"/>
          <w:b w:val="0"/>
          <w:color w:val="333333"/>
          <w:sz w:val="22"/>
        </w:rPr>
        <w:t>、</w:t>
      </w:r>
      <w:r>
        <w:rPr>
          <w:rFonts w:ascii="Consolas" w:hAnsi="Consolas" w:eastAsia="微软雅黑"/>
          <w:b w:val="0"/>
          <w:color w:val="333333"/>
          <w:sz w:val="21"/>
        </w:rPr>
        <w:t>是否归档</w:t>
      </w:r>
      <w:r>
        <w:rPr>
          <w:rFonts w:ascii="Calibri" w:hAnsi="Calibri" w:eastAsia="微软雅黑"/>
          <w:b w:val="0"/>
          <w:color w:val="333333"/>
          <w:sz w:val="22"/>
        </w:rPr>
        <w:t>。</w:t>
      </w:r>
    </w:p>
    <w:p>
      <w:pPr>
        <w:pStyle w:val="ListBullet"/>
      </w:pPr>
      <w:r>
        <w:rPr>
          <w:rFonts w:ascii="Calibri" w:hAnsi="Calibri" w:eastAsia="微软雅黑"/>
          <w:b w:val="0"/>
          <w:color w:val="333333"/>
          <w:sz w:val="22"/>
        </w:rPr>
        <w:t>增加 CHECK 约束：金额 ≥ 0、日期格式统一、枚举白名单；增加 NOT NULL（必填字段）。</w:t>
      </w:r>
    </w:p>
    <w:p>
      <w:pPr>
        <w:pStyle w:val="ListBullet"/>
      </w:pPr>
      <w:r>
        <w:rPr>
          <w:rFonts w:ascii="Calibri" w:hAnsi="Calibri" w:eastAsia="微软雅黑"/>
          <w:b w:val="0"/>
          <w:color w:val="333333"/>
          <w:sz w:val="22"/>
        </w:rPr>
        <w:t>类型修正：</w:t>
      </w:r>
      <w:r>
        <w:rPr>
          <w:rFonts w:ascii="Consolas" w:hAnsi="Consolas" w:eastAsia="微软雅黑"/>
          <w:b w:val="0"/>
          <w:color w:val="333333"/>
          <w:sz w:val="21"/>
        </w:rPr>
        <w:t>文件大小</w:t>
      </w:r>
      <w:r>
        <w:rPr>
          <w:rFonts w:ascii="Calibri" w:hAnsi="Calibri" w:eastAsia="微软雅黑"/>
          <w:b w:val="0"/>
          <w:color w:val="333333"/>
          <w:sz w:val="22"/>
        </w:rPr>
        <w:t xml:space="preserve"> 改 INTEGER；日期列统一 </w:t>
      </w:r>
      <w:r>
        <w:rPr>
          <w:rFonts w:ascii="Consolas" w:hAnsi="Consolas" w:eastAsia="微软雅黑"/>
          <w:b w:val="0"/>
          <w:color w:val="333333"/>
          <w:sz w:val="21"/>
        </w:rPr>
        <w:t>YYYY-MM-DD</w:t>
      </w:r>
      <w:r>
        <w:rPr>
          <w:rFonts w:ascii="Calibri" w:hAnsi="Calibri" w:eastAsia="微软雅黑"/>
          <w:b w:val="0"/>
          <w:color w:val="333333"/>
          <w:sz w:val="22"/>
        </w:rPr>
        <w:t xml:space="preserve"> 并清洗存量。</w:t>
      </w:r>
    </w:p>
    <w:p>
      <w:pPr>
        <w:pStyle w:val="ListBullet"/>
      </w:pPr>
      <w:r>
        <w:rPr>
          <w:rFonts w:ascii="Calibri" w:hAnsi="Calibri" w:eastAsia="微软雅黑"/>
          <w:b w:val="0"/>
          <w:color w:val="333333"/>
          <w:sz w:val="22"/>
        </w:rPr>
        <w:t xml:space="preserve">新建 </w:t>
      </w:r>
      <w:r>
        <w:rPr>
          <w:rFonts w:ascii="Consolas" w:hAnsi="Consolas" w:eastAsia="微软雅黑"/>
          <w:b w:val="0"/>
          <w:color w:val="333333"/>
          <w:sz w:val="21"/>
        </w:rPr>
        <w:t>schema_version</w:t>
      </w:r>
      <w:r>
        <w:rPr>
          <w:rFonts w:ascii="Calibri" w:hAnsi="Calibri" w:eastAsia="微软雅黑"/>
          <w:b w:val="0"/>
          <w:color w:val="333333"/>
          <w:sz w:val="22"/>
        </w:rPr>
        <w:t xml:space="preserve"> 表，迁移脚本化、幂等化。</w:t>
      </w:r>
    </w:p>
    <w:p>
      <w:pPr>
        <w:pStyle w:val="ListBullet"/>
      </w:pPr>
      <w:r>
        <w:rPr>
          <w:rFonts w:ascii="Calibri" w:hAnsi="Calibri" w:eastAsia="微软雅黑"/>
          <w:b w:val="0"/>
          <w:color w:val="333333"/>
          <w:sz w:val="22"/>
        </w:rPr>
        <w:t>枚举清洗：按《数据字典表》标准值清洗存量非标准值（需业务确认映射，113/409/12 条）。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4.2 档位 B：结构规范化（建议按需，约一半功能需适配）</w:t>
      </w:r>
    </w:p>
    <w:p>
      <w:pPr>
        <w:pStyle w:val="ListBullet"/>
      </w:pPr>
      <w:r>
        <w:rPr>
          <w:rFonts w:ascii="Calibri" w:hAnsi="Calibri" w:eastAsia="微软雅黑"/>
          <w:b/>
          <w:color w:val="333333"/>
          <w:sz w:val="22"/>
        </w:rPr>
        <w:t>部门拆表</w:t>
      </w:r>
      <w:r>
        <w:rPr>
          <w:rFonts w:ascii="Calibri" w:hAnsi="Calibri" w:eastAsia="微软雅黑"/>
          <w:b w:val="0"/>
          <w:color w:val="333333"/>
          <w:sz w:val="22"/>
        </w:rPr>
        <w:t xml:space="preserve">：contracts/users 改存 </w:t>
      </w:r>
      <w:r>
        <w:rPr>
          <w:rFonts w:ascii="Consolas" w:hAnsi="Consolas" w:eastAsia="微软雅黑"/>
          <w:b w:val="0"/>
          <w:color w:val="333333"/>
          <w:sz w:val="21"/>
        </w:rPr>
        <w:t>department_id</w:t>
      </w:r>
      <w:r>
        <w:rPr>
          <w:rFonts w:ascii="Calibri" w:hAnsi="Calibri" w:eastAsia="微软雅黑"/>
          <w:b w:val="0"/>
          <w:color w:val="333333"/>
          <w:sz w:val="22"/>
        </w:rPr>
        <w:t xml:space="preserve"> 外键，显示名由 departments 拼接生成。</w:t>
      </w:r>
    </w:p>
    <w:p>
      <w:pPr>
        <w:pStyle w:val="ListBullet"/>
      </w:pPr>
      <w:r>
        <w:rPr>
          <w:rFonts w:ascii="Calibri" w:hAnsi="Calibri" w:eastAsia="微软雅黑"/>
          <w:b/>
          <w:color w:val="333333"/>
          <w:sz w:val="22"/>
        </w:rPr>
        <w:t>多值拆表</w:t>
      </w:r>
      <w:r>
        <w:rPr>
          <w:rFonts w:ascii="Calibri" w:hAnsi="Calibri" w:eastAsia="微软雅黑"/>
          <w:b w:val="0"/>
          <w:color w:val="333333"/>
          <w:sz w:val="22"/>
        </w:rPr>
        <w:t xml:space="preserve">：新建 </w:t>
      </w:r>
      <w:r>
        <w:rPr>
          <w:rFonts w:ascii="Consolas" w:hAnsi="Consolas" w:eastAsia="微软雅黑"/>
          <w:b w:val="0"/>
          <w:color w:val="333333"/>
          <w:sz w:val="21"/>
        </w:rPr>
        <w:t>contract_handlers(合同, 经办人)</w:t>
      </w:r>
      <w:r>
        <w:rPr>
          <w:rFonts w:ascii="Calibri" w:hAnsi="Calibri" w:eastAsia="微软雅黑"/>
          <w:b w:val="0"/>
          <w:color w:val="333333"/>
          <w:sz w:val="22"/>
        </w:rPr>
        <w:t>、</w:t>
      </w:r>
      <w:r>
        <w:rPr>
          <w:rFonts w:ascii="Consolas" w:hAnsi="Consolas" w:eastAsia="微软雅黑"/>
          <w:b w:val="0"/>
          <w:color w:val="333333"/>
          <w:sz w:val="21"/>
        </w:rPr>
        <w:t>user_managed_depts(用户, 部门)</w:t>
      </w:r>
      <w:r>
        <w:rPr>
          <w:rFonts w:ascii="Calibri" w:hAnsi="Calibri" w:eastAsia="微软雅黑"/>
          <w:b w:val="0"/>
          <w:color w:val="333333"/>
          <w:sz w:val="22"/>
        </w:rPr>
        <w:t xml:space="preserve"> 关联表，替换 </w:t>
      </w:r>
      <w:r>
        <w:rPr>
          <w:rFonts w:ascii="Consolas" w:hAnsi="Consolas" w:eastAsia="微软雅黑"/>
          <w:b w:val="0"/>
          <w:color w:val="333333"/>
          <w:sz w:val="21"/>
        </w:rPr>
        <w:t>_split_names()</w:t>
      </w:r>
      <w:r>
        <w:rPr>
          <w:rFonts w:ascii="Calibri" w:hAnsi="Calibri" w:eastAsia="微软雅黑"/>
          <w:b w:val="0"/>
          <w:color w:val="333333"/>
          <w:sz w:val="22"/>
        </w:rPr>
        <w:t>/</w:t>
      </w:r>
      <w:r>
        <w:rPr>
          <w:rFonts w:ascii="Consolas" w:hAnsi="Consolas" w:eastAsia="微软雅黑"/>
          <w:b w:val="0"/>
          <w:color w:val="333333"/>
          <w:sz w:val="21"/>
        </w:rPr>
        <w:t>norm_managed()</w:t>
      </w:r>
      <w:r>
        <w:rPr>
          <w:rFonts w:ascii="Calibri" w:hAnsi="Calibri" w:eastAsia="微软雅黑"/>
          <w:b w:val="0"/>
          <w:color w:val="333333"/>
          <w:sz w:val="22"/>
        </w:rPr>
        <w:t xml:space="preserve"> 内存拆解逻辑。</w:t>
      </w:r>
    </w:p>
    <w:p>
      <w:pPr>
        <w:pStyle w:val="ListBullet"/>
      </w:pPr>
      <w:r>
        <w:rPr>
          <w:rFonts w:ascii="Calibri" w:hAnsi="Calibri" w:eastAsia="微软雅黑"/>
          <w:b/>
          <w:color w:val="333333"/>
          <w:sz w:val="22"/>
        </w:rPr>
        <w:t>期限拆列</w:t>
      </w:r>
      <w:r>
        <w:rPr>
          <w:rFonts w:ascii="Calibri" w:hAnsi="Calibri" w:eastAsia="微软雅黑"/>
          <w:b w:val="0"/>
          <w:color w:val="333333"/>
          <w:sz w:val="22"/>
        </w:rPr>
        <w:t>：</w:t>
      </w:r>
      <w:r>
        <w:rPr>
          <w:rFonts w:ascii="Consolas" w:hAnsi="Consolas" w:eastAsia="微软雅黑"/>
          <w:b w:val="0"/>
          <w:color w:val="333333"/>
          <w:sz w:val="21"/>
        </w:rPr>
        <w:t>期限</w:t>
      </w:r>
      <w:r>
        <w:rPr>
          <w:rFonts w:ascii="Calibri" w:hAnsi="Calibri" w:eastAsia="微软雅黑"/>
          <w:b w:val="0"/>
          <w:color w:val="333333"/>
          <w:sz w:val="22"/>
        </w:rPr>
        <w:t xml:space="preserve"> 拆为 </w:t>
      </w:r>
      <w:r>
        <w:rPr>
          <w:rFonts w:ascii="Consolas" w:hAnsi="Consolas" w:eastAsia="微软雅黑"/>
          <w:b w:val="0"/>
          <w:color w:val="333333"/>
          <w:sz w:val="21"/>
        </w:rPr>
        <w:t>开始日期</w:t>
      </w:r>
      <w:r>
        <w:rPr>
          <w:rFonts w:ascii="Calibri" w:hAnsi="Calibri" w:eastAsia="微软雅黑"/>
          <w:b w:val="0"/>
          <w:color w:val="333333"/>
          <w:sz w:val="22"/>
        </w:rPr>
        <w:t>、</w:t>
      </w:r>
      <w:r>
        <w:rPr>
          <w:rFonts w:ascii="Consolas" w:hAnsi="Consolas" w:eastAsia="微软雅黑"/>
          <w:b w:val="0"/>
          <w:color w:val="333333"/>
          <w:sz w:val="21"/>
        </w:rPr>
        <w:t>结束日期</w:t>
      </w:r>
      <w:r>
        <w:rPr>
          <w:rFonts w:ascii="Calibri" w:hAnsi="Calibri" w:eastAsia="微软雅黑"/>
          <w:b w:val="0"/>
          <w:color w:val="333333"/>
          <w:sz w:val="22"/>
        </w:rPr>
        <w:t xml:space="preserve"> 两列，存量 200+ 写法需智能解析或人工确认。</w:t>
      </w:r>
    </w:p>
    <w:p>
      <w:pPr>
        <w:pStyle w:val="ListBullet"/>
      </w:pPr>
      <w:r>
        <w:rPr>
          <w:rFonts w:ascii="Calibri" w:hAnsi="Calibri" w:eastAsia="微软雅黑"/>
          <w:b/>
          <w:color w:val="333333"/>
          <w:sz w:val="22"/>
        </w:rPr>
        <w:t>派生字段</w:t>
      </w:r>
      <w:r>
        <w:rPr>
          <w:rFonts w:ascii="Calibri" w:hAnsi="Calibri" w:eastAsia="微软雅黑"/>
          <w:b w:val="0"/>
          <w:color w:val="333333"/>
          <w:sz w:val="22"/>
        </w:rPr>
        <w:t xml:space="preserve">：建议 </w:t>
      </w:r>
      <w:r>
        <w:rPr>
          <w:rFonts w:ascii="Consolas" w:hAnsi="Consolas" w:eastAsia="微软雅黑"/>
          <w:b w:val="0"/>
          <w:color w:val="333333"/>
          <w:sz w:val="21"/>
        </w:rPr>
        <w:t>未支付</w:t>
      </w:r>
      <w:r>
        <w:rPr>
          <w:rFonts w:ascii="Calibri" w:hAnsi="Calibri" w:eastAsia="微软雅黑"/>
          <w:b w:val="0"/>
          <w:color w:val="333333"/>
          <w:sz w:val="22"/>
        </w:rPr>
        <w:t xml:space="preserve"> 改为视图或统一计算口径（涉及首页卡片、待支付提醒、统计三处），或保留列 + 触发器保证一致性。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4.3 档位 C：深度规范化（量力而行，当前数据量不建议全做）</w:t>
      </w:r>
    </w:p>
    <w:p>
      <w:pPr>
        <w:pStyle w:val="ListBullet"/>
      </w:pPr>
      <w:r>
        <w:rPr>
          <w:rFonts w:ascii="Calibri" w:hAnsi="Calibri" w:eastAsia="微软雅黑"/>
          <w:b w:val="0"/>
          <w:color w:val="333333"/>
          <w:sz w:val="22"/>
        </w:rPr>
        <w:t xml:space="preserve">列名英文化（如 </w:t>
      </w:r>
      <w:r>
        <w:rPr>
          <w:rFonts w:ascii="Consolas" w:hAnsi="Consolas" w:eastAsia="微软雅黑"/>
          <w:b w:val="0"/>
          <w:color w:val="333333"/>
          <w:sz w:val="21"/>
        </w:rPr>
        <w:t>contract_no</w:t>
      </w:r>
      <w:r>
        <w:rPr>
          <w:rFonts w:ascii="Calibri" w:hAnsi="Calibri" w:eastAsia="微软雅黑"/>
          <w:b w:val="0"/>
          <w:color w:val="333333"/>
          <w:sz w:val="22"/>
        </w:rPr>
        <w:t>、</w:t>
      </w:r>
      <w:r>
        <w:rPr>
          <w:rFonts w:ascii="Consolas" w:hAnsi="Consolas" w:eastAsia="微软雅黑"/>
          <w:b w:val="0"/>
          <w:color w:val="333333"/>
          <w:sz w:val="21"/>
        </w:rPr>
        <w:t>contract_amount</w:t>
      </w:r>
      <w:r>
        <w:rPr>
          <w:rFonts w:ascii="Calibri" w:hAnsi="Calibri" w:eastAsia="微软雅黑"/>
          <w:b w:val="0"/>
          <w:color w:val="333333"/>
          <w:sz w:val="22"/>
        </w:rPr>
        <w:t xml:space="preserve">），建立“英文标识 ↔ 中文显示名”映射层，替换 </w:t>
      </w:r>
      <w:r>
        <w:rPr>
          <w:rFonts w:ascii="Consolas" w:hAnsi="Consolas" w:eastAsia="微软雅黑"/>
          <w:b w:val="0"/>
          <w:color w:val="333333"/>
          <w:sz w:val="21"/>
        </w:rPr>
        <w:t>CONTRACT_COLUMNS</w:t>
      </w:r>
      <w:r>
        <w:rPr>
          <w:rFonts w:ascii="Calibri" w:hAnsi="Calibri" w:eastAsia="微软雅黑"/>
          <w:b w:val="0"/>
          <w:color w:val="333333"/>
          <w:sz w:val="22"/>
        </w:rPr>
        <w:t>/</w:t>
      </w:r>
      <w:r>
        <w:rPr>
          <w:rFonts w:ascii="Consolas" w:hAnsi="Consolas" w:eastAsia="微软雅黑"/>
          <w:b w:val="0"/>
          <w:color w:val="333333"/>
          <w:sz w:val="21"/>
        </w:rPr>
        <w:t>c2r</w:t>
      </w:r>
      <w:r>
        <w:rPr>
          <w:rFonts w:ascii="Calibri" w:hAnsi="Calibri" w:eastAsia="微软雅黑"/>
          <w:b w:val="0"/>
          <w:color w:val="333333"/>
          <w:sz w:val="22"/>
        </w:rPr>
        <w:t>/</w:t>
      </w:r>
      <w:r>
        <w:rPr>
          <w:rFonts w:ascii="Consolas" w:hAnsi="Consolas" w:eastAsia="微软雅黑"/>
          <w:b w:val="0"/>
          <w:color w:val="333333"/>
          <w:sz w:val="21"/>
        </w:rPr>
        <w:t>fm</w:t>
      </w:r>
      <w:r>
        <w:rPr>
          <w:rFonts w:ascii="Calibri" w:hAnsi="Calibri" w:eastAsia="微软雅黑"/>
          <w:b w:val="0"/>
          <w:color w:val="333333"/>
          <w:sz w:val="22"/>
        </w:rPr>
        <w:t xml:space="preserve"> 三处核心映射。</w:t>
      </w:r>
    </w:p>
    <w:p>
      <w:pPr>
        <w:pStyle w:val="ListBullet"/>
      </w:pPr>
      <w:r>
        <w:rPr>
          <w:rFonts w:ascii="Calibri" w:hAnsi="Calibri" w:eastAsia="微软雅黑"/>
          <w:b w:val="0"/>
          <w:color w:val="333333"/>
          <w:sz w:val="22"/>
        </w:rPr>
        <w:t>建枚举字典表（项目分类/采购方式/资金来源/附件类型/操作类型…）、支付流水表（替代“已支付/未支付/结算金额”平铺）、归档历史表。</w:t>
      </w:r>
    </w:p>
    <w:p>
      <w:pPr>
        <w:pStyle w:val="ListBullet"/>
      </w:pPr>
      <w:r>
        <w:rPr>
          <w:rFonts w:ascii="Calibri" w:hAnsi="Calibri" w:eastAsia="微软雅黑"/>
          <w:b w:val="0"/>
          <w:color w:val="333333"/>
          <w:sz w:val="22"/>
        </w:rPr>
        <w:t xml:space="preserve">权限模型表化（角色-权限表）；统计下推 SQL 层；引入 DAO/ORM 层收敛散落的 </w:t>
      </w:r>
      <w:r>
        <w:rPr>
          <w:rFonts w:ascii="Consolas" w:hAnsi="Consolas" w:eastAsia="微软雅黑"/>
          <w:b w:val="0"/>
          <w:color w:val="333333"/>
          <w:sz w:val="21"/>
        </w:rPr>
        <w:t>db_query</w:t>
      </w:r>
      <w:r>
        <w:rPr>
          <w:rFonts w:ascii="Calibri" w:hAnsi="Calibri" w:eastAsia="微软雅黑"/>
          <w:b w:val="0"/>
          <w:color w:val="333333"/>
          <w:sz w:val="22"/>
        </w:rPr>
        <w:t xml:space="preserve"> 调用。</w:t>
      </w:r>
    </w:p>
    <w:p>
      <w:pPr>
        <w:pStyle w:val="Heading1"/>
      </w:pPr>
      <w:r>
        <w:rPr>
          <w:rFonts w:ascii="Calibri" w:hAnsi="Calibri" w:eastAsia="微软雅黑"/>
          <w:b/>
          <w:color w:val="2E74B5"/>
          <w:sz w:val="32"/>
        </w:rPr>
        <w:t>五、改造工作量评估</w:t>
      </w:r>
    </w:p>
    <w:p>
      <w:r>
        <w:rPr>
          <w:rFonts w:ascii="Calibri" w:hAnsi="Calibri" w:eastAsia="微软雅黑"/>
          <w:b w:val="0"/>
          <w:color w:val="333333"/>
          <w:sz w:val="22"/>
        </w:rPr>
        <w:t xml:space="preserve">以单机 639 行合同、后端 </w:t>
      </w:r>
      <w:r>
        <w:rPr>
          <w:rFonts w:ascii="Consolas" w:hAnsi="Consolas" w:eastAsia="微软雅黑"/>
          <w:b w:val="0"/>
          <w:color w:val="333333"/>
          <w:sz w:val="21"/>
        </w:rPr>
        <w:t>app.py</w:t>
      </w:r>
      <w:r>
        <w:rPr>
          <w:rFonts w:ascii="Calibri" w:hAnsi="Calibri" w:eastAsia="微软雅黑"/>
          <w:b w:val="0"/>
          <w:color w:val="333333"/>
          <w:sz w:val="22"/>
        </w:rPr>
        <w:t xml:space="preserve"> 1605 行/36 路由、前端 </w:t>
      </w:r>
      <w:r>
        <w:rPr>
          <w:rFonts w:ascii="Consolas" w:hAnsi="Consolas" w:eastAsia="微软雅黑"/>
          <w:b w:val="0"/>
          <w:color w:val="333333"/>
          <w:sz w:val="21"/>
        </w:rPr>
        <w:t>index.html</w:t>
      </w:r>
      <w:r>
        <w:rPr>
          <w:rFonts w:ascii="Calibri" w:hAnsi="Calibri" w:eastAsia="微软雅黑"/>
          <w:b w:val="0"/>
          <w:color w:val="333333"/>
          <w:sz w:val="22"/>
        </w:rPr>
        <w:t xml:space="preserve"> 1607 行单页应用为前提，按模块估算（人天）：</w:t>
      </w:r>
    </w:p>
    <w:tbl>
      <w:tblPr>
        <w:tblStyle w:val="TableGrid"/>
        <w:tblW w:type="dxa" w:w="9638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3032"/>
        <w:gridCol w:w="1733"/>
        <w:gridCol w:w="1841"/>
        <w:gridCol w:w="3032"/>
      </w:tblGrid>
      <w:tr>
        <w:tc>
          <w:tcPr>
            <w:tcW w:type="dxa" w:w="3032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模块</w:t>
            </w:r>
          </w:p>
        </w:tc>
        <w:tc>
          <w:tcPr>
            <w:tcW w:type="dxa" w:w="1733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档位 A</w:t>
            </w:r>
          </w:p>
        </w:tc>
        <w:tc>
          <w:tcPr>
            <w:tcW w:type="dxa" w:w="1841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档位 B</w:t>
            </w:r>
          </w:p>
        </w:tc>
        <w:tc>
          <w:tcPr>
            <w:tcW w:type="dxa" w:w="3032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主要改动说明</w:t>
            </w:r>
          </w:p>
        </w:tc>
      </w:tr>
      <w:tr>
        <w:tc>
          <w:tcPr>
            <w:tcW w:type="dxa" w:w="303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迁移脚本与存量数据清洗</w:t>
            </w:r>
          </w:p>
        </w:tc>
        <w:tc>
          <w:tcPr>
            <w:tcW w:type="dxa" w:w="1733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2–3</w:t>
            </w:r>
          </w:p>
        </w:tc>
        <w:tc>
          <w:tcPr>
            <w:tcW w:type="dxa" w:w="184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3–5</w:t>
            </w:r>
          </w:p>
        </w:tc>
        <w:tc>
          <w:tcPr>
            <w:tcW w:type="dxa" w:w="303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约束建立、枚举清洗、期限/部门拆分解析、回滚方案</w:t>
            </w:r>
          </w:p>
        </w:tc>
      </w:tr>
      <w:tr>
        <w:tc>
          <w:tcPr>
            <w:tcW w:type="dxa" w:w="303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后端数据读写层</w:t>
            </w:r>
          </w:p>
        </w:tc>
        <w:tc>
          <w:tcPr>
            <w:tcW w:type="dxa" w:w="1733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0.5–1</w:t>
            </w:r>
          </w:p>
        </w:tc>
        <w:tc>
          <w:tcPr>
            <w:tcW w:type="dxa" w:w="184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2–4</w:t>
            </w:r>
          </w:p>
        </w:tc>
        <w:tc>
          <w:tcPr>
            <w:tcW w:type="dxa" w:w="3032"/>
          </w:tcPr>
          <w:p>
            <w:pPr>
              <w:spacing w:after="40" w:before="40"/>
            </w:pP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read_contracts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/</w:t>
            </w: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c2r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/</w:t>
            </w: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fm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/</w:t>
            </w: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upd_row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/</w:t>
            </w: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app_row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 xml:space="preserve"> 映射改造</w:t>
            </w:r>
          </w:p>
        </w:tc>
      </w:tr>
      <w:tr>
        <w:tc>
          <w:tcPr>
            <w:tcW w:type="dxa" w:w="303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后端 API（增删改查/导入导出/统计/提醒/待支付/权限/附件）</w:t>
            </w:r>
          </w:p>
        </w:tc>
        <w:tc>
          <w:tcPr>
            <w:tcW w:type="dxa" w:w="1733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0.5–1</w:t>
            </w:r>
          </w:p>
        </w:tc>
        <w:tc>
          <w:tcPr>
            <w:tcW w:type="dxa" w:w="184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4–6</w:t>
            </w:r>
          </w:p>
        </w:tc>
        <w:tc>
          <w:tcPr>
            <w:tcW w:type="dxa" w:w="303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部门、经办人、派生金额口径全链路适配</w:t>
            </w:r>
          </w:p>
        </w:tc>
      </w:tr>
      <w:tr>
        <w:tc>
          <w:tcPr>
            <w:tcW w:type="dxa" w:w="303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前端（表单/列表/搜索/统计/导入预览/打印）</w:t>
            </w:r>
          </w:p>
        </w:tc>
        <w:tc>
          <w:tcPr>
            <w:tcW w:type="dxa" w:w="1733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0.5</w:t>
            </w:r>
          </w:p>
        </w:tc>
        <w:tc>
          <w:tcPr>
            <w:tcW w:type="dxa" w:w="184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4–6</w:t>
            </w:r>
          </w:p>
        </w:tc>
        <w:tc>
          <w:tcPr>
            <w:tcW w:type="dxa" w:w="3032"/>
          </w:tcPr>
          <w:p>
            <w:pPr>
              <w:spacing w:after="40" w:before="40"/>
            </w:pP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contractForm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 xml:space="preserve"> 与各视图绑定改造</w:t>
            </w:r>
          </w:p>
        </w:tc>
      </w:tr>
      <w:tr>
        <w:tc>
          <w:tcPr>
            <w:tcW w:type="dxa" w:w="303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Excel 模板/导出/导入校验</w:t>
            </w:r>
          </w:p>
        </w:tc>
        <w:tc>
          <w:tcPr>
            <w:tcW w:type="dxa" w:w="1733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0.5–1</w:t>
            </w:r>
          </w:p>
        </w:tc>
        <w:tc>
          <w:tcPr>
            <w:tcW w:type="dxa" w:w="184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1–2</w:t>
            </w:r>
          </w:p>
        </w:tc>
        <w:tc>
          <w:tcPr>
            <w:tcW w:type="dxa" w:w="303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列映射与枚举校验适配</w:t>
            </w:r>
          </w:p>
        </w:tc>
      </w:tr>
      <w:tr>
        <w:tc>
          <w:tcPr>
            <w:tcW w:type="dxa" w:w="303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备份/恢复/日志兼容</w:t>
            </w:r>
          </w:p>
        </w:tc>
        <w:tc>
          <w:tcPr>
            <w:tcW w:type="dxa" w:w="1733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0.5</w:t>
            </w:r>
          </w:p>
        </w:tc>
        <w:tc>
          <w:tcPr>
            <w:tcW w:type="dxa" w:w="184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0.5–1</w:t>
            </w:r>
          </w:p>
        </w:tc>
        <w:tc>
          <w:tcPr>
            <w:tcW w:type="dxa" w:w="303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整库文件备份方案基本不受影响</w:t>
            </w:r>
          </w:p>
        </w:tc>
      </w:tr>
      <w:tr>
        <w:tc>
          <w:tcPr>
            <w:tcW w:type="dxa" w:w="303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全功能回归（3 角色、导入导出往返、提醒、统计、打印）</w:t>
            </w:r>
          </w:p>
        </w:tc>
        <w:tc>
          <w:tcPr>
            <w:tcW w:type="dxa" w:w="1733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1–2</w:t>
            </w:r>
          </w:p>
        </w:tc>
        <w:tc>
          <w:tcPr>
            <w:tcW w:type="dxa" w:w="184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2–4</w:t>
            </w:r>
          </w:p>
        </w:tc>
        <w:tc>
          <w:tcPr>
            <w:tcW w:type="dxa" w:w="303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口径一致性重点回归</w:t>
            </w:r>
          </w:p>
        </w:tc>
      </w:tr>
      <w:tr>
        <w:tc>
          <w:tcPr>
            <w:tcW w:type="dxa" w:w="303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文档同步（数据字典/开发文档/操作手册）</w:t>
            </w:r>
          </w:p>
        </w:tc>
        <w:tc>
          <w:tcPr>
            <w:tcW w:type="dxa" w:w="1733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0.5–1</w:t>
            </w:r>
          </w:p>
        </w:tc>
        <w:tc>
          <w:tcPr>
            <w:tcW w:type="dxa" w:w="184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1–2</w:t>
            </w:r>
          </w:p>
        </w:tc>
        <w:tc>
          <w:tcPr>
            <w:tcW w:type="dxa" w:w="303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—</w:t>
            </w:r>
          </w:p>
        </w:tc>
      </w:tr>
      <w:tr>
        <w:tc>
          <w:tcPr>
            <w:tcW w:type="dxa" w:w="303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333333"/>
                <w:sz w:val="21"/>
              </w:rPr>
              <w:t>合计</w:t>
            </w:r>
          </w:p>
        </w:tc>
        <w:tc>
          <w:tcPr>
            <w:tcW w:type="dxa" w:w="1733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333333"/>
                <w:sz w:val="21"/>
              </w:rPr>
              <w:t>约 6–10 人天</w:t>
            </w:r>
          </w:p>
        </w:tc>
        <w:tc>
          <w:tcPr>
            <w:tcW w:type="dxa" w:w="184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333333"/>
                <w:sz w:val="21"/>
              </w:rPr>
              <w:t>约 17–30 人天</w:t>
            </w:r>
          </w:p>
        </w:tc>
        <w:tc>
          <w:tcPr>
            <w:tcW w:type="dxa" w:w="303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档位 C 另需 15–25 人天，总计可达 30–50 人天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5.1 主要风险点</w:t>
      </w:r>
    </w:p>
    <w:p>
      <w:pPr>
        <w:pStyle w:val="ListBullet"/>
      </w:pPr>
      <w:r>
        <w:rPr>
          <w:rFonts w:ascii="Calibri" w:hAnsi="Calibri" w:eastAsia="微软雅黑"/>
          <w:b/>
          <w:color w:val="333333"/>
          <w:sz w:val="22"/>
        </w:rPr>
        <w:t>编号双重身份</w:t>
      </w:r>
      <w:r>
        <w:rPr>
          <w:rFonts w:ascii="Calibri" w:hAnsi="Calibri" w:eastAsia="微软雅黑"/>
          <w:b w:val="0"/>
          <w:color w:val="333333"/>
          <w:sz w:val="22"/>
        </w:rPr>
        <w:t>：</w:t>
      </w:r>
      <w:r>
        <w:rPr>
          <w:rFonts w:ascii="Consolas" w:hAnsi="Consolas" w:eastAsia="微软雅黑"/>
          <w:b w:val="0"/>
          <w:color w:val="333333"/>
          <w:sz w:val="21"/>
        </w:rPr>
        <w:t>编号</w:t>
      </w:r>
      <w:r>
        <w:rPr>
          <w:rFonts w:ascii="Calibri" w:hAnsi="Calibri" w:eastAsia="微软雅黑"/>
          <w:b w:val="0"/>
          <w:color w:val="333333"/>
          <w:sz w:val="22"/>
        </w:rPr>
        <w:t xml:space="preserve"> 既是业务唯一键，又是附件关联键；拆表或加约束前需冻结“改编号”逻辑，避免悬空附件。</w:t>
      </w:r>
    </w:p>
    <w:p>
      <w:pPr>
        <w:pStyle w:val="ListBullet"/>
      </w:pPr>
      <w:r>
        <w:rPr>
          <w:rFonts w:ascii="Calibri" w:hAnsi="Calibri" w:eastAsia="微软雅黑"/>
          <w:b/>
          <w:color w:val="333333"/>
          <w:sz w:val="22"/>
        </w:rPr>
        <w:t>未支付口径</w:t>
      </w:r>
      <w:r>
        <w:rPr>
          <w:rFonts w:ascii="Calibri" w:hAnsi="Calibri" w:eastAsia="微软雅黑"/>
          <w:b w:val="0"/>
          <w:color w:val="333333"/>
          <w:sz w:val="22"/>
        </w:rPr>
        <w:t xml:space="preserve">：删除或调整 </w:t>
      </w:r>
      <w:r>
        <w:rPr>
          <w:rFonts w:ascii="Consolas" w:hAnsi="Consolas" w:eastAsia="微软雅黑"/>
          <w:b w:val="0"/>
          <w:color w:val="333333"/>
          <w:sz w:val="21"/>
        </w:rPr>
        <w:t>未支付</w:t>
      </w:r>
      <w:r>
        <w:rPr>
          <w:rFonts w:ascii="Calibri" w:hAnsi="Calibri" w:eastAsia="微软雅黑"/>
          <w:b w:val="0"/>
          <w:color w:val="333333"/>
          <w:sz w:val="22"/>
        </w:rPr>
        <w:t xml:space="preserve"> 会波及首页卡片、待支付提醒、统计三处，必须先统一口径再动数据。</w:t>
      </w:r>
    </w:p>
    <w:p>
      <w:pPr>
        <w:pStyle w:val="ListBullet"/>
      </w:pPr>
      <w:r>
        <w:rPr>
          <w:rFonts w:ascii="Calibri" w:hAnsi="Calibri" w:eastAsia="微软雅黑"/>
          <w:b/>
          <w:color w:val="333333"/>
          <w:sz w:val="22"/>
        </w:rPr>
        <w:t>枚举标准化依赖业务</w:t>
      </w:r>
      <w:r>
        <w:rPr>
          <w:rFonts w:ascii="Calibri" w:hAnsi="Calibri" w:eastAsia="微软雅黑"/>
          <w:b w:val="0"/>
          <w:color w:val="333333"/>
          <w:sz w:val="22"/>
        </w:rPr>
        <w:t>：113/409/12 条非标准值需业务确认映射，属数据治理问题而非纯技术问题，耗时不可压缩。</w:t>
      </w:r>
    </w:p>
    <w:p>
      <w:pPr>
        <w:pStyle w:val="ListBullet"/>
      </w:pPr>
      <w:r>
        <w:rPr>
          <w:rFonts w:ascii="Calibri" w:hAnsi="Calibri" w:eastAsia="微软雅黑"/>
          <w:b/>
          <w:color w:val="333333"/>
          <w:sz w:val="22"/>
        </w:rPr>
        <w:t>部门字符串引用点多</w:t>
      </w:r>
      <w:r>
        <w:rPr>
          <w:rFonts w:ascii="Calibri" w:hAnsi="Calibri" w:eastAsia="微软雅黑"/>
          <w:b w:val="0"/>
          <w:color w:val="333333"/>
          <w:sz w:val="22"/>
        </w:rPr>
        <w:t>：“单位名称-科室名称”字符串在合同、用户、分管部门、部门管理、登录注入等多处拼接/解析，拆表需全链路排查。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5.2 实施建议</w:t>
      </w:r>
    </w:p>
    <w:p>
      <w:pPr>
        <w:pStyle w:val="ListBullet"/>
      </w:pPr>
      <w:r>
        <w:rPr>
          <w:rFonts w:ascii="Calibri" w:hAnsi="Calibri" w:eastAsia="微软雅黑"/>
          <w:b w:val="0"/>
          <w:color w:val="333333"/>
          <w:sz w:val="22"/>
        </w:rPr>
        <w:t xml:space="preserve">按 </w:t>
      </w:r>
      <w:r>
        <w:rPr>
          <w:rFonts w:ascii="Calibri" w:hAnsi="Calibri" w:eastAsia="微软雅黑"/>
          <w:b/>
          <w:color w:val="333333"/>
          <w:sz w:val="22"/>
        </w:rPr>
        <w:t>A → B → C</w:t>
      </w:r>
      <w:r>
        <w:rPr>
          <w:rFonts w:ascii="Calibri" w:hAnsi="Calibri" w:eastAsia="微软雅黑"/>
          <w:b w:val="0"/>
          <w:color w:val="333333"/>
          <w:sz w:val="22"/>
        </w:rPr>
        <w:t xml:space="preserve"> 分期实施：先补约束与索引（低风险、可随时回滚），再按模块灰度拆分结构，每期独立回归。</w:t>
      </w:r>
    </w:p>
    <w:p>
      <w:pPr>
        <w:pStyle w:val="ListBullet"/>
      </w:pPr>
      <w:r>
        <w:rPr>
          <w:rFonts w:ascii="Calibri" w:hAnsi="Calibri" w:eastAsia="微软雅黑"/>
          <w:b w:val="0"/>
          <w:color w:val="333333"/>
          <w:sz w:val="22"/>
        </w:rPr>
        <w:t xml:space="preserve">每期迁移前执行整库备份（现有 </w:t>
      </w:r>
      <w:r>
        <w:rPr>
          <w:rFonts w:ascii="Consolas" w:hAnsi="Consolas" w:eastAsia="微软雅黑"/>
          <w:b w:val="0"/>
          <w:color w:val="333333"/>
          <w:sz w:val="21"/>
        </w:rPr>
        <w:t>backups/</w:t>
      </w:r>
      <w:r>
        <w:rPr>
          <w:rFonts w:ascii="Calibri" w:hAnsi="Calibri" w:eastAsia="微软雅黑"/>
          <w:b w:val="0"/>
          <w:color w:val="333333"/>
          <w:sz w:val="22"/>
        </w:rPr>
        <w:t xml:space="preserve"> 机制可直接复用），并准备回滚 SQL。</w:t>
      </w:r>
    </w:p>
    <w:p>
      <w:pPr>
        <w:pStyle w:val="ListBullet"/>
      </w:pPr>
      <w:r>
        <w:rPr>
          <w:rFonts w:ascii="Calibri" w:hAnsi="Calibri" w:eastAsia="微软雅黑"/>
          <w:b w:val="0"/>
          <w:color w:val="333333"/>
          <w:sz w:val="22"/>
        </w:rPr>
        <w:t>建议以“数据口径一致性”（未支付/待支付/统计）为回归验收重点。</w:t>
      </w:r>
    </w:p>
    <w:p>
      <w:pPr>
        <w:pStyle w:val="Heading1"/>
      </w:pPr>
      <w:r>
        <w:rPr>
          <w:rFonts w:ascii="Calibri" w:hAnsi="Calibri" w:eastAsia="微软雅黑"/>
          <w:b/>
          <w:color w:val="2E74B5"/>
          <w:sz w:val="32"/>
        </w:rPr>
        <w:t>六、结论</w:t>
      </w:r>
    </w:p>
    <w:p>
      <w:r>
        <w:rPr>
          <w:rFonts w:ascii="Calibri" w:hAnsi="Calibri" w:eastAsia="微软雅黑"/>
          <w:b w:val="0"/>
          <w:color w:val="333333"/>
          <w:sz w:val="22"/>
        </w:rPr>
        <w:t>当前系统在“业务可用”层面无性能问题（639 行全内存处理足够），但数据库设计整体停留在“Excel 电子表格直存”形态：无约束、无外键、无索引，多值字段、复合属性、自由文本与派生冗余并存。从数据库设计规范角度评价，</w:t>
      </w:r>
      <w:r>
        <w:rPr>
          <w:rFonts w:ascii="Calibri" w:hAnsi="Calibri" w:eastAsia="微软雅黑"/>
          <w:b/>
          <w:color w:val="333333"/>
          <w:sz w:val="22"/>
        </w:rPr>
        <w:t>未达到第二范式，第一范式亦不完整</w:t>
      </w:r>
      <w:r>
        <w:rPr>
          <w:rFonts w:ascii="Calibri" w:hAnsi="Calibri" w:eastAsia="微软雅黑"/>
          <w:b w:val="0"/>
          <w:color w:val="333333"/>
          <w:sz w:val="22"/>
        </w:rPr>
        <w:t>。</w:t>
      </w:r>
    </w:p>
    <w:p>
      <w:r>
        <w:rPr>
          <w:rFonts w:ascii="Calibri" w:hAnsi="Calibri" w:eastAsia="微软雅黑"/>
          <w:b w:val="0"/>
          <w:color w:val="333333"/>
          <w:sz w:val="22"/>
        </w:rPr>
        <w:t>建议优先实施档位 A（完整性规范化，约 6–10 人天），以最低成本补齐约束与数据质量底线；档位 B 按业务需要分期推进；档位 C 在当前数据规模下不建议全量实施，可视后续数据量与查询复杂度再行评估。</w:t>
      </w:r>
    </w:p>
    <w:p>
      <w:pPr>
        <w:pStyle w:val="Heading1"/>
      </w:pPr>
      <w:r>
        <w:rPr>
          <w:rFonts w:ascii="Calibri" w:hAnsi="Calibri" w:eastAsia="微软雅黑"/>
          <w:b/>
          <w:color w:val="2E74B5"/>
          <w:sz w:val="32"/>
        </w:rPr>
        <w:t>附录：V1.5 结构增量（2026-10-10）</w:t>
      </w:r>
    </w:p>
    <w:p>
      <w:r>
        <w:rPr>
          <w:rFonts w:ascii="Calibri" w:hAnsi="Calibri" w:eastAsia="微软雅黑"/>
          <w:b w:val="0"/>
          <w:color w:val="333333"/>
          <w:sz w:val="22"/>
        </w:rPr>
        <w:t>本轮“短信提醒”功能新增 2 张表与 2 个业务列，均为</w:t>
      </w:r>
      <w:r>
        <w:rPr>
          <w:rFonts w:ascii="Calibri" w:hAnsi="Calibri" w:eastAsia="微软雅黑"/>
          <w:b/>
          <w:color w:val="333333"/>
          <w:sz w:val="22"/>
        </w:rPr>
        <w:t>纯新增</w:t>
      </w:r>
      <w:r>
        <w:rPr>
          <w:rFonts w:ascii="Calibri" w:hAnsi="Calibri" w:eastAsia="微软雅黑"/>
          <w:b w:val="0"/>
          <w:color w:val="333333"/>
          <w:sz w:val="22"/>
        </w:rPr>
        <w:t>，不改变既有表结构：</w:t>
      </w:r>
    </w:p>
    <w:tbl>
      <w:tblPr>
        <w:tblStyle w:val="TableGrid"/>
        <w:tblW w:type="dxa" w:w="9638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608"/>
        <w:gridCol w:w="1814"/>
        <w:gridCol w:w="5216"/>
      </w:tblGrid>
      <w:tr>
        <w:tc>
          <w:tcPr>
            <w:tcW w:type="dxa" w:w="2608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对象</w:t>
            </w:r>
          </w:p>
        </w:tc>
        <w:tc>
          <w:tcPr>
            <w:tcW w:type="dxa" w:w="1814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说明</w:t>
            </w:r>
          </w:p>
        </w:tc>
        <w:tc>
          <w:tcPr>
            <w:tcW w:type="dxa" w:w="5216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迁移版本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sms_templates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短信模板表（6 列，5 个场景，场景为主键）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v21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sms_logs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短信发送流水表（21 列 + 6 索引，含「去重键」部分唯一索引）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v22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project_contracts."短信提醒"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单合同短信开关（TEXT，可空，空 = 开启）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v23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asset_contracts."短信提醒"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同上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v23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settings.sms_*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 xml:space="preserve">14 项短信配置（含 v24 的 </w:t>
            </w: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sms_timeout_sec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）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v20 / v24</w:t>
            </w:r>
          </w:p>
        </w:tc>
      </w:tr>
    </w:tbl>
    <w:p>
      <w:pPr>
        <w:spacing w:after="40"/>
      </w:pPr>
    </w:p>
    <w:p>
      <w:r>
        <w:rPr>
          <w:rFonts w:ascii="Calibri" w:hAnsi="Calibri" w:eastAsia="微软雅黑"/>
          <w:b/>
          <w:color w:val="333333"/>
          <w:sz w:val="22"/>
        </w:rPr>
        <w:t>规范化评价</w:t>
      </w:r>
      <w:r>
        <w:rPr>
          <w:rFonts w:ascii="Calibri" w:hAnsi="Calibri" w:eastAsia="微软雅黑"/>
          <w:b w:val="0"/>
          <w:color w:val="333333"/>
          <w:sz w:val="22"/>
        </w:rPr>
        <w:t>：</w:t>
      </w:r>
      <w:r>
        <w:rPr>
          <w:rFonts w:ascii="Consolas" w:hAnsi="Consolas" w:eastAsia="微软雅黑"/>
          <w:b w:val="0"/>
          <w:color w:val="333333"/>
          <w:sz w:val="21"/>
        </w:rPr>
        <w:t>sms_templates</w:t>
      </w:r>
      <w:r>
        <w:rPr>
          <w:rFonts w:ascii="Calibri" w:hAnsi="Calibri" w:eastAsia="微软雅黑"/>
          <w:b w:val="0"/>
          <w:color w:val="333333"/>
          <w:sz w:val="22"/>
        </w:rPr>
        <w:t xml:space="preserve"> 以业务场景为主键、</w:t>
      </w:r>
      <w:r>
        <w:rPr>
          <w:rFonts w:ascii="Consolas" w:hAnsi="Consolas" w:eastAsia="微软雅黑"/>
          <w:b w:val="0"/>
          <w:color w:val="333333"/>
          <w:sz w:val="21"/>
        </w:rPr>
        <w:t>sms_logs</w:t>
      </w:r>
      <w:r>
        <w:rPr>
          <w:rFonts w:ascii="Calibri" w:hAnsi="Calibri" w:eastAsia="微软雅黑"/>
          <w:b w:val="0"/>
          <w:color w:val="333333"/>
          <w:sz w:val="22"/>
        </w:rPr>
        <w:t xml:space="preserve"> 以自增 </w:t>
      </w:r>
      <w:r>
        <w:rPr>
          <w:rFonts w:ascii="Consolas" w:hAnsi="Consolas" w:eastAsia="微软雅黑"/>
          <w:b w:val="0"/>
          <w:color w:val="333333"/>
          <w:sz w:val="21"/>
        </w:rPr>
        <w:t>id</w:t>
      </w:r>
      <w:r>
        <w:rPr>
          <w:rFonts w:ascii="Calibri" w:hAnsi="Calibri" w:eastAsia="微软雅黑"/>
          <w:b w:val="0"/>
          <w:color w:val="333333"/>
          <w:sz w:val="22"/>
        </w:rPr>
        <w:t xml:space="preserve"> 为主键并记录发送事实，二者均无传递依赖与部分依赖，满足 3NF；</w:t>
      </w:r>
      <w:r>
        <w:rPr>
          <w:rFonts w:ascii="Consolas" w:hAnsi="Consolas" w:eastAsia="微软雅黑"/>
          <w:b w:val="0"/>
          <w:color w:val="333333"/>
          <w:sz w:val="21"/>
        </w:rPr>
        <w:t>sms_logs</w:t>
      </w:r>
      <w:r>
        <w:rPr>
          <w:rFonts w:ascii="Calibri" w:hAnsi="Calibri" w:eastAsia="微软雅黑"/>
          <w:b w:val="0"/>
          <w:color w:val="333333"/>
          <w:sz w:val="22"/>
        </w:rPr>
        <w:t xml:space="preserve"> 的唯一性通过“去重键”部分唯一索引在数据库层兜底（业务自然键），沿用本项目“约束下沉到数据库”的既定方向。新表不与既有表建立外键，故</w:t>
      </w:r>
      <w:r>
        <w:rPr>
          <w:rFonts w:ascii="Calibri" w:hAnsi="Calibri" w:eastAsia="微软雅黑"/>
          <w:b/>
          <w:color w:val="333333"/>
          <w:sz w:val="22"/>
        </w:rPr>
        <w:t>未引入新的引用完整性风险</w:t>
      </w:r>
      <w:r>
        <w:rPr>
          <w:rFonts w:ascii="Calibri" w:hAnsi="Calibri" w:eastAsia="微软雅黑"/>
          <w:b w:val="0"/>
          <w:color w:val="333333"/>
          <w:sz w:val="22"/>
        </w:rPr>
        <w:t>。结论：本轮增量不产生新的规范化问题。</w:t>
      </w:r>
    </w:p>
    <w:p>
      <w:r>
        <w:rPr>
          <w:rFonts w:ascii="Calibri" w:hAnsi="Calibri" w:eastAsia="微软雅黑"/>
          <w:b w:val="0"/>
          <w:i/>
          <w:color w:val="333333"/>
          <w:sz w:val="22"/>
        </w:rPr>
        <w:t>本报告仅作评估与规划依据。如需实施，请另行立项并按档位拆解任务；实施前应进行数据备份与业务确认。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微软雅黑"/>
        <w:color w:val="666666"/>
        <w:sz w:val="18"/>
      </w:rPr>
      <w:t xml:space="preserve">第 </w:t>
    </w:r>
    <w:r>
      <w:rPr>
        <w:rFonts w:ascii="Calibri" w:hAnsi="Calibri" w:eastAsia="微软雅黑"/>
        <w:color w:val="666666"/>
        <w:sz w:val="18"/>
      </w:rPr>
      <w:fldChar w:fldCharType="begin"/>
      <w:instrText xml:space="preserve"> PAGE </w:instrText>
      <w:fldChar w:fldCharType="end"/>
    </w:r>
    <w:r>
      <w:rPr>
        <w:rFonts w:ascii="Calibri" w:hAnsi="Calibri" w:eastAsia="微软雅黑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微软雅黑"/>
        <w:color w:val="666666"/>
        <w:sz w:val="17"/>
      </w:rPr>
      <w:t>“潭合同”台账管理系统 · 数据库规范化评估报告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微软雅黑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300" w:lineRule="auto"/>
      <w:contextualSpacing/>
    </w:pPr>
    <w:rPr>
      <w:rFonts w:ascii="Calibri" w:hAnsi="Calibri" w:eastAsia="微软雅黑"/>
      <w:color w:val="333333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 w:line="300" w:lineRule="auto"/>
      <w:contextualSpacing/>
    </w:pPr>
    <w:rPr>
      <w:rFonts w:ascii="Calibri" w:hAnsi="Calibri" w:eastAsia="微软雅黑"/>
      <w:color w:val="333333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300" w:lineRule="auto"/>
      <w:contextualSpacing/>
    </w:pPr>
    <w:rPr>
      <w:rFonts w:ascii="Calibri" w:hAnsi="Calibri" w:eastAsia="微软雅黑"/>
      <w:color w:val="333333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《数据库规范化评估报告》</dc:title>
  <dc:subject/>
  <dc:creator>湘潭市机关事务管理局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