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微软雅黑"/>
          <w:b/>
          <w:color w:val="1F4D78"/>
          <w:sz w:val="44"/>
        </w:rPr>
        <w:t>“潭合同”台账管理系统 第三方开源组件许可清单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生成日期：2026-08-16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适用范围：全系统（前端 </w:t>
      </w:r>
      <w:r>
        <w:rPr>
          <w:rFonts w:ascii="Consolas" w:hAnsi="Consolas" w:eastAsia="微软雅黑"/>
          <w:b w:val="0"/>
          <w:color w:val="333333"/>
          <w:sz w:val="21"/>
        </w:rPr>
        <w:t>static/vendor/</w:t>
      </w:r>
      <w:r>
        <w:rPr>
          <w:rFonts w:ascii="Calibri" w:hAnsi="Calibri" w:eastAsia="微软雅黑"/>
          <w:b w:val="0"/>
          <w:color w:val="333333"/>
          <w:sz w:val="22"/>
        </w:rPr>
        <w:t xml:space="preserve"> 本地化组件 + 后端 Python 依赖）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 xml:space="preserve">说明：本项目为内部管理系统，前端组件已 CDN 本地化部署；本清单用于第三方版权合规审计，许可证全文见 </w:t>
      </w:r>
      <w:r>
        <w:rPr>
          <w:rFonts w:ascii="Consolas" w:hAnsi="Consolas" w:eastAsia="微软雅黑"/>
          <w:b w:val="0"/>
          <w:color w:val="333333"/>
          <w:sz w:val="21"/>
        </w:rPr>
        <w:t>docs/licenses/</w:t>
      </w:r>
      <w:r>
        <w:rPr>
          <w:rFonts w:ascii="Calibri" w:hAnsi="Calibri" w:eastAsia="微软雅黑"/>
          <w:b w:val="0"/>
          <w:color w:val="333333"/>
          <w:sz w:val="22"/>
        </w:rPr>
        <w:t xml:space="preserve"> 目录。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一、前端组件（已本地化至 static/vendor/）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364"/>
        <w:gridCol w:w="909"/>
        <w:gridCol w:w="909"/>
        <w:gridCol w:w="2546"/>
        <w:gridCol w:w="1364"/>
        <w:gridCol w:w="2546"/>
      </w:tblGrid>
      <w:tr>
        <w:tc>
          <w:tcPr>
            <w:tcW w:type="dxa" w:w="136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909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909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许可证</w:t>
            </w:r>
          </w:p>
        </w:tc>
        <w:tc>
          <w:tcPr>
            <w:tcW w:type="dxa" w:w="254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本地文件</w:t>
            </w:r>
          </w:p>
        </w:tc>
        <w:tc>
          <w:tcPr>
            <w:tcW w:type="dxa" w:w="1364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546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版权方</w:t>
            </w:r>
          </w:p>
        </w:tc>
      </w:tr>
      <w:tr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Vue.js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3.4.21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MIT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static/vendor/js/vue.global.prod.js</w:t>
            </w:r>
          </w:p>
        </w:tc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前端响应式框架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Yuxi (Evan) You 及 Vue 贡献者</w:t>
            </w:r>
          </w:p>
        </w:tc>
      </w:tr>
      <w:tr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Bootstrap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5.3.0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MIT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static/vendor/css/bootstrap.min.css</w:t>
            </w:r>
          </w:p>
        </w:tc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UI 样式框架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The Bootstrap Authors</w:t>
            </w:r>
          </w:p>
        </w:tc>
      </w:tr>
      <w:tr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Bootstrap Icons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1.10.5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MIT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static/vendor/css/bootstrap-icons.css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static/vendor/fonts/bootstrap-icons.woff</w:t>
            </w: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、</w:t>
            </w: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static/vendor/fonts/bootstrap-icons.woff2</w:t>
            </w:r>
          </w:p>
        </w:tc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线性图标库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The Bootstrap Authors</w:t>
            </w:r>
          </w:p>
        </w:tc>
      </w:tr>
      <w:tr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Chart.js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4.4.1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MIT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static/vendor/js/chart.umd.min.js</w:t>
            </w:r>
          </w:p>
        </w:tc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统计图表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Chart.js Contributors</w:t>
            </w:r>
          </w:p>
        </w:tc>
      </w:tr>
      <w:tr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SheetJS（xlsx）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0.18.5</w:t>
            </w:r>
          </w:p>
        </w:tc>
        <w:tc>
          <w:tcPr>
            <w:tcW w:type="dxa" w:w="909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Apache-2.0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onsolas" w:hAnsi="Consolas" w:eastAsia="微软雅黑"/>
                <w:b w:val="0"/>
                <w:color w:val="333333"/>
                <w:sz w:val="20"/>
              </w:rPr>
              <w:t>static/vendor/js/xlsx.full.min.js</w:t>
            </w:r>
          </w:p>
        </w:tc>
        <w:tc>
          <w:tcPr>
            <w:tcW w:type="dxa" w:w="1364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前端 Excel 导出</w:t>
            </w:r>
          </w:p>
        </w:tc>
        <w:tc>
          <w:tcPr>
            <w:tcW w:type="dxa" w:w="2546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SheetJS (https://sheetjs.com)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二、后端 Python 依赖（requirements.txt）</w:t>
      </w:r>
    </w:p>
    <w:tbl>
      <w:tblPr>
        <w:tblStyle w:val="TableGrid"/>
        <w:tblW w:type="dxa" w:w="9638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853"/>
        <w:gridCol w:w="2388"/>
        <w:gridCol w:w="1791"/>
        <w:gridCol w:w="2388"/>
        <w:gridCol w:w="2218"/>
      </w:tblGrid>
      <w:tr>
        <w:tc>
          <w:tcPr>
            <w:tcW w:type="dxa" w:w="853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38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91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许可证</w:t>
            </w:r>
          </w:p>
        </w:tc>
        <w:tc>
          <w:tcPr>
            <w:tcW w:type="dxa" w:w="238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218"/>
            <w:shd w:val="clear" w:color="auto" w:fill="2E74B5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/>
                <w:color w:val="FFFFFF"/>
                <w:sz w:val="21"/>
              </w:rPr>
              <w:t>版权方</w:t>
            </w:r>
          </w:p>
        </w:tc>
      </w:tr>
      <w:tr>
        <w:tc>
          <w:tcPr>
            <w:tcW w:type="dxa" w:w="85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Flask</w:t>
            </w:r>
          </w:p>
        </w:tc>
        <w:tc>
          <w:tcPr>
            <w:tcW w:type="dxa" w:w="238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未固定（以实际安装版本为准）</w:t>
            </w:r>
          </w:p>
        </w:tc>
        <w:tc>
          <w:tcPr>
            <w:tcW w:type="dxa" w:w="17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BSD-3-Clause</w:t>
            </w:r>
          </w:p>
        </w:tc>
        <w:tc>
          <w:tcPr>
            <w:tcW w:type="dxa" w:w="238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Web 框架</w:t>
            </w:r>
          </w:p>
        </w:tc>
        <w:tc>
          <w:tcPr>
            <w:tcW w:type="dxa" w:w="22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Pallets 项目组</w:t>
            </w:r>
          </w:p>
        </w:tc>
      </w:tr>
      <w:tr>
        <w:tc>
          <w:tcPr>
            <w:tcW w:type="dxa" w:w="85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openpyxl</w:t>
            </w:r>
          </w:p>
        </w:tc>
        <w:tc>
          <w:tcPr>
            <w:tcW w:type="dxa" w:w="238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未固定（实测环境 3.1.5）</w:t>
            </w:r>
          </w:p>
        </w:tc>
        <w:tc>
          <w:tcPr>
            <w:tcW w:type="dxa" w:w="17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MIT</w:t>
            </w:r>
          </w:p>
        </w:tc>
        <w:tc>
          <w:tcPr>
            <w:tcW w:type="dxa" w:w="238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Excel 文件读写</w:t>
            </w:r>
          </w:p>
        </w:tc>
        <w:tc>
          <w:tcPr>
            <w:tcW w:type="dxa" w:w="22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Eric Gazoni、Charlie Clark</w:t>
            </w:r>
          </w:p>
        </w:tc>
      </w:tr>
      <w:tr>
        <w:tc>
          <w:tcPr>
            <w:tcW w:type="dxa" w:w="853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filelock</w:t>
            </w:r>
          </w:p>
        </w:tc>
        <w:tc>
          <w:tcPr>
            <w:tcW w:type="dxa" w:w="238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未固定（以实际安装版本为准）</w:t>
            </w:r>
          </w:p>
        </w:tc>
        <w:tc>
          <w:tcPr>
            <w:tcW w:type="dxa" w:w="1791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Unlicense（公有领域）</w:t>
            </w:r>
          </w:p>
        </w:tc>
        <w:tc>
          <w:tcPr>
            <w:tcW w:type="dxa" w:w="238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文件锁（规范声明；当前代码并发控制由 SQLite + threading.Lock 承担）</w:t>
            </w:r>
          </w:p>
        </w:tc>
        <w:tc>
          <w:tcPr>
            <w:tcW w:type="dxa" w:w="2218"/>
          </w:tcPr>
          <w:p>
            <w:pPr>
              <w:spacing w:after="40" w:before="40"/>
            </w:pPr>
            <w:r>
              <w:rPr>
                <w:rFonts w:ascii="Calibri" w:hAnsi="Calibri" w:eastAsia="微软雅黑"/>
                <w:b w:val="0"/>
                <w:color w:val="333333"/>
                <w:sz w:val="21"/>
              </w:rPr>
              <w:t>tox-dev 项目组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color w:val="333333"/>
          <w:sz w:val="22"/>
        </w:rPr>
        <w:t>注：SQLite 数据库引擎本身属公共领域（Public Domain）。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三、许可义务与合规说明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MIT</w:t>
      </w:r>
      <w:r>
        <w:rPr>
          <w:rFonts w:ascii="Calibri" w:hAnsi="Calibri" w:eastAsia="微软雅黑"/>
          <w:b w:val="0"/>
          <w:color w:val="333333"/>
          <w:sz w:val="22"/>
        </w:rPr>
        <w:t>：需在副本中保留版权与许可声明。本项目各本地化文件头已保留原版权声明，满足义务。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Apache-2.0</w:t>
      </w:r>
      <w:r>
        <w:rPr>
          <w:rFonts w:ascii="Calibri" w:hAnsi="Calibri" w:eastAsia="微软雅黑"/>
          <w:b w:val="0"/>
          <w:color w:val="333333"/>
          <w:sz w:val="22"/>
        </w:rPr>
        <w:t xml:space="preserve">：需随分发保留许可证副本（本清单已归档至 </w:t>
      </w:r>
      <w:r>
        <w:rPr>
          <w:rFonts w:ascii="Consolas" w:hAnsi="Consolas" w:eastAsia="微软雅黑"/>
          <w:b w:val="0"/>
          <w:color w:val="333333"/>
          <w:sz w:val="21"/>
        </w:rPr>
        <w:t>docs/licenses/Apache-2.0.txt</w:t>
      </w:r>
      <w:r>
        <w:rPr>
          <w:rFonts w:ascii="Calibri" w:hAnsi="Calibri" w:eastAsia="微软雅黑"/>
          <w:b w:val="0"/>
          <w:color w:val="333333"/>
          <w:sz w:val="22"/>
        </w:rPr>
        <w:t>）；对源文件进行修改时应在修改文件处标注变更。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BSD-3-Clause</w:t>
      </w:r>
      <w:r>
        <w:rPr>
          <w:rFonts w:ascii="Calibri" w:hAnsi="Calibri" w:eastAsia="微软雅黑"/>
          <w:b w:val="0"/>
          <w:color w:val="333333"/>
          <w:sz w:val="22"/>
        </w:rPr>
        <w:t>：需保留版权声明，且不得使用版权所有者名称对衍生品作背书。</w:t>
      </w:r>
    </w:p>
    <w:p>
      <w:pPr>
        <w:pStyle w:val="ListBullet"/>
      </w:pPr>
      <w:r>
        <w:rPr>
          <w:rFonts w:ascii="Calibri" w:hAnsi="Calibri" w:eastAsia="微软雅黑"/>
          <w:b/>
          <w:color w:val="333333"/>
          <w:sz w:val="22"/>
        </w:rPr>
        <w:t>Unlicense</w:t>
      </w:r>
      <w:r>
        <w:rPr>
          <w:rFonts w:ascii="Calibri" w:hAnsi="Calibri" w:eastAsia="微软雅黑"/>
          <w:b w:val="0"/>
          <w:color w:val="333333"/>
          <w:sz w:val="22"/>
        </w:rPr>
        <w:t>：公有领域贡献，无保留义务。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四、维护建议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 xml:space="preserve">升级任一前端组件或 Python 依赖时，同步更新本清单中的版本号，并替换 </w:t>
      </w:r>
      <w:r>
        <w:rPr>
          <w:rFonts w:ascii="Consolas" w:hAnsi="Consolas" w:eastAsia="微软雅黑"/>
          <w:b w:val="0"/>
          <w:color w:val="333333"/>
          <w:sz w:val="21"/>
        </w:rPr>
        <w:t>docs/licenses/</w:t>
      </w:r>
      <w:r>
        <w:rPr>
          <w:rFonts w:ascii="Calibri" w:hAnsi="Calibri" w:eastAsia="微软雅黑"/>
          <w:b w:val="0"/>
          <w:color w:val="333333"/>
          <w:sz w:val="22"/>
        </w:rPr>
        <w:t xml:space="preserve"> 中对应的许可证全文。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 xml:space="preserve">部署服务器上执行 </w:t>
      </w:r>
      <w:r>
        <w:rPr>
          <w:rFonts w:ascii="Consolas" w:hAnsi="Consolas" w:eastAsia="微软雅黑"/>
          <w:b w:val="0"/>
          <w:color w:val="333333"/>
          <w:sz w:val="21"/>
        </w:rPr>
        <w:t>pip freeze</w:t>
      </w:r>
      <w:r>
        <w:rPr>
          <w:rFonts w:ascii="Calibri" w:hAnsi="Calibri" w:eastAsia="微软雅黑"/>
          <w:b w:val="0"/>
          <w:color w:val="333333"/>
          <w:sz w:val="22"/>
        </w:rPr>
        <w:t xml:space="preserve"> 后，可将实际安装版本回填至第二节表格，保持与运行环境一致。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微软雅黑"/>
          <w:b w:val="0"/>
          <w:color w:val="333333"/>
          <w:sz w:val="22"/>
        </w:rPr>
        <w:t xml:space="preserve">如需对外分发或接受上级审查，建议将本清单与 </w:t>
      </w:r>
      <w:r>
        <w:rPr>
          <w:rFonts w:ascii="Consolas" w:hAnsi="Consolas" w:eastAsia="微软雅黑"/>
          <w:b w:val="0"/>
          <w:color w:val="333333"/>
          <w:sz w:val="21"/>
        </w:rPr>
        <w:t>docs/licenses/</w:t>
      </w:r>
      <w:r>
        <w:rPr>
          <w:rFonts w:ascii="Calibri" w:hAnsi="Calibri" w:eastAsia="微软雅黑"/>
          <w:b w:val="0"/>
          <w:color w:val="333333"/>
          <w:sz w:val="22"/>
        </w:rPr>
        <w:t xml:space="preserve"> 目录随系统一同归档。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五、许可证全文索引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MIT：</w:t>
      </w:r>
      <w:r>
        <w:rPr>
          <w:rFonts w:ascii="Consolas" w:hAnsi="Consolas" w:eastAsia="微软雅黑"/>
          <w:b w:val="0"/>
          <w:color w:val="333333"/>
          <w:sz w:val="21"/>
        </w:rPr>
        <w:t>docs/licenses/MIT.txt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Apache-2.0：</w:t>
      </w:r>
      <w:r>
        <w:rPr>
          <w:rFonts w:ascii="Consolas" w:hAnsi="Consolas" w:eastAsia="微软雅黑"/>
          <w:b w:val="0"/>
          <w:color w:val="333333"/>
          <w:sz w:val="21"/>
        </w:rPr>
        <w:t>docs/licenses/Apache-2.0.txt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BSD-3-Clause：</w:t>
      </w:r>
      <w:r>
        <w:rPr>
          <w:rFonts w:ascii="Consolas" w:hAnsi="Consolas" w:eastAsia="微软雅黑"/>
          <w:b w:val="0"/>
          <w:color w:val="333333"/>
          <w:sz w:val="21"/>
        </w:rPr>
        <w:t>docs/licenses/BSD-3-Clause.txt</w:t>
      </w:r>
    </w:p>
    <w:p>
      <w:pPr>
        <w:pStyle w:val="ListBullet"/>
      </w:pPr>
      <w:r>
        <w:rPr>
          <w:rFonts w:ascii="Calibri" w:hAnsi="Calibri" w:eastAsia="微软雅黑"/>
          <w:b w:val="0"/>
          <w:color w:val="333333"/>
          <w:sz w:val="22"/>
        </w:rPr>
        <w:t>Unlicense：</w:t>
      </w:r>
      <w:r>
        <w:rPr>
          <w:rFonts w:ascii="Consolas" w:hAnsi="Consolas" w:eastAsia="微软雅黑"/>
          <w:b w:val="0"/>
          <w:color w:val="333333"/>
          <w:sz w:val="21"/>
        </w:rPr>
        <w:t>docs/licenses/Unlicense.txt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7"/>
      </w:rPr>
      <w:t>“潭合同”台账管理系统 · 第三方开源组件许可清单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00" w:lineRule="auto"/>
      <w:contextualSpacing/>
    </w:pPr>
    <w:rPr>
      <w:rFonts w:ascii="Calibri" w:hAnsi="Calibri" w:eastAsia="微软雅黑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“潭合同”台账管理系统 第三方开源组件许可清单</dc:title>
  <dc:subject/>
  <dc:creator>湘潭市机关事务管理局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