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20" w:after="40"/>
        <w:jc w:val="center"/>
      </w:pPr>
      <w:r>
        <w:rPr>
          <w:rFonts w:ascii="Calibri" w:hAnsi="Calibri" w:eastAsia="微软雅黑"/>
          <w:b/>
          <w:color w:val="1F4D78"/>
          <w:sz w:val="44"/>
        </w:rPr>
        <w:t>“潭合同”台账管理系统</w:t>
      </w:r>
    </w:p>
    <w:p>
      <w:pPr>
        <w:spacing w:after="200"/>
        <w:jc w:val="center"/>
      </w:pPr>
      <w:r>
        <w:rPr>
          <w:rFonts w:ascii="Calibri" w:hAnsi="Calibri" w:eastAsia="微软雅黑"/>
          <w:b/>
          <w:color w:val="2E74B5"/>
          <w:sz w:val="32"/>
        </w:rPr>
        <w:t>系统功能评审与改进建议</w:t>
      </w:r>
    </w:p>
    <w:p>
      <w:pPr>
        <w:spacing w:after="40"/>
        <w:jc w:val="center"/>
      </w:pPr>
      <w:r>
        <w:rPr>
          <w:rFonts w:ascii="Calibri" w:hAnsi="Calibri" w:eastAsia="微软雅黑"/>
          <w:b w:val="0"/>
          <w:color w:val="666666"/>
          <w:sz w:val="21"/>
        </w:rPr>
        <w:t>评审角色：合同管理科负责人</w:t>
      </w:r>
    </w:p>
    <w:p>
      <w:pPr>
        <w:spacing w:after="40"/>
        <w:jc w:val="center"/>
      </w:pPr>
      <w:r>
        <w:rPr>
          <w:rFonts w:ascii="Calibri" w:hAnsi="Calibri" w:eastAsia="微软雅黑"/>
          <w:b w:val="0"/>
          <w:color w:val="666666"/>
          <w:sz w:val="21"/>
        </w:rPr>
        <w:t>评审对象：“潭合同”台账管理系统（V1.0）</w:t>
      </w:r>
    </w:p>
    <w:p>
      <w:pPr>
        <w:spacing w:after="40"/>
        <w:jc w:val="center"/>
      </w:pPr>
      <w:r>
        <w:rPr>
          <w:rFonts w:ascii="Calibri" w:hAnsi="Calibri" w:eastAsia="微软雅黑"/>
          <w:b w:val="0"/>
          <w:color w:val="666666"/>
          <w:sz w:val="21"/>
        </w:rPr>
        <w:t>评审日期：2026-08-16</w:t>
      </w:r>
    </w:p>
    <w:p>
      <w:pPr>
        <w:spacing w:after="40"/>
        <w:jc w:val="center"/>
      </w:pPr>
      <w:r>
        <w:rPr>
          <w:rFonts w:ascii="Calibri" w:hAnsi="Calibri" w:eastAsia="微软雅黑"/>
          <w:b w:val="0"/>
          <w:color w:val="666666"/>
          <w:sz w:val="21"/>
        </w:rPr>
        <w:t>文档版本：V1.1（修订版）</w:t>
      </w:r>
    </w:p>
    <w:p>
      <w:pPr>
        <w:spacing w:after="40"/>
        <w:jc w:val="center"/>
      </w:pPr>
      <w:r>
        <w:rPr>
          <w:rFonts w:ascii="Calibri" w:hAnsi="Calibri" w:eastAsia="微软雅黑"/>
          <w:b w:val="0"/>
          <w:color w:val="666666"/>
          <w:sz w:val="21"/>
        </w:rPr>
        <w:t>文档修订：2026-08-18，补充实施说明与状态跟踪；方案细则见《系统功能提升实施方案》</w:t>
      </w:r>
    </w:p>
    <w:p>
      <w:pPr>
        <w:pStyle w:val="Heading1"/>
      </w:pPr>
      <w:r>
        <w:rPr>
          <w:rFonts w:ascii="Calibri" w:hAnsi="Calibri" w:eastAsia="微软雅黑"/>
          <w:b/>
          <w:color w:val="2E74B5"/>
          <w:sz w:val="32"/>
        </w:rPr>
        <w:t>一、评审说明</w:t>
      </w:r>
    </w:p>
    <w:p>
      <w:r>
        <w:rPr>
          <w:rFonts w:ascii="Calibri" w:hAnsi="Calibri" w:eastAsia="微软雅黑"/>
          <w:b w:val="0"/>
          <w:color w:val="333333"/>
          <w:sz w:val="22"/>
        </w:rPr>
        <w:t>本次评审立足合同管理科日常管理需要，对照《合同台账管理系统需求规格说明书（V3.1）》，结合系统当前实际功能逐项核对，并提出增减与调整建议。评审范围覆盖系统全部功能模块：登录认证、合同台账、查询统计、到期提醒、用户与部门管理、日志审计、系统设置。</w:t>
      </w:r>
    </w:p>
    <w:p>
      <w:pPr>
        <w:spacing w:before="80" w:after="160"/>
        <w:ind w:left="170" w:right="170"/>
        <w:shd w:val="clear" w:color="auto" w:fill="EAF3FB"/>
        <w:pBdr>
          <w:left w:val="single" w:sz="14" w:space="4" w:color="1E90FF"/>
        </w:pBdr>
      </w:pPr>
      <w:r>
        <w:rPr>
          <w:rFonts w:ascii="Calibri" w:hAnsi="Calibri" w:eastAsia="微软雅黑"/>
          <w:b w:val="0"/>
          <w:color w:val="1F4D78"/>
          <w:sz w:val="21"/>
        </w:rPr>
        <w:t>总体结论：系统核心需求已全部实现，且超出原始需求完成了附件管理、Excel 导入、合同归档、分管部门授权、日志审计、数据字典、操作手册等扩展功能，可满足合同台账管理的基本要求；主要差距集中在合同全生命周期管理、财务勾稽校验、提醒主动触达与安全加固方面，建议按本报告优先级逐步完善。</w:t>
      </w:r>
    </w:p>
    <w:p>
      <w:pPr>
        <w:spacing w:before="80" w:after="160"/>
        <w:ind w:left="170" w:right="170"/>
        <w:shd w:val="clear" w:color="auto" w:fill="EAF3FB"/>
        <w:pBdr>
          <w:left w:val="single" w:sz="14" w:space="4" w:color="1E90FF"/>
        </w:pBdr>
      </w:pPr>
      <w:r>
        <w:rPr>
          <w:rFonts w:ascii="Calibri" w:hAnsi="Calibri" w:eastAsia="微软雅黑"/>
          <w:b/>
          <w:color w:val="1F4D78"/>
          <w:sz w:val="21"/>
        </w:rPr>
        <w:t>后续变更提示（2026-09-29 补充）</w:t>
      </w:r>
      <w:r>
        <w:rPr>
          <w:rFonts w:ascii="Calibri" w:hAnsi="Calibri" w:eastAsia="微软雅黑"/>
          <w:b w:val="0"/>
          <w:color w:val="1F4D78"/>
          <w:sz w:val="21"/>
        </w:rPr>
        <w:t>：本报告为 2026-08 评审期成果。此后系统新增了</w:t>
      </w:r>
      <w:r>
        <w:rPr>
          <w:rFonts w:ascii="Calibri" w:hAnsi="Calibri" w:eastAsia="微软雅黑"/>
          <w:b/>
          <w:color w:val="1F4D78"/>
          <w:sz w:val="21"/>
        </w:rPr>
        <w:t>资产合同台账</w:t>
      </w:r>
      <w:r>
        <w:rPr>
          <w:rFonts w:ascii="Calibri" w:hAnsi="Calibri" w:eastAsia="微软雅黑"/>
          <w:b w:val="0"/>
          <w:color w:val="1F4D78"/>
          <w:sz w:val="21"/>
        </w:rPr>
        <w:t>模块（资产合同表 + 归档 + 附件 + 导入导出 + 查询统计 + 按部门过滤）、</w:t>
      </w:r>
      <w:r>
        <w:rPr>
          <w:rFonts w:ascii="Calibri" w:hAnsi="Calibri" w:eastAsia="微软雅黑"/>
          <w:b/>
          <w:color w:val="1F4D78"/>
          <w:sz w:val="21"/>
        </w:rPr>
        <w:t>资产合同租金收缴模块</w:t>
      </w:r>
      <w:r>
        <w:rPr>
          <w:rFonts w:ascii="Calibri" w:hAnsi="Calibri" w:eastAsia="微软雅黑"/>
          <w:b w:val="0"/>
          <w:color w:val="1F4D78"/>
          <w:sz w:val="21"/>
        </w:rPr>
        <w:t>（</w:t>
      </w:r>
      <w:r>
        <w:rPr>
          <w:rFonts w:ascii="Consolas" w:hAnsi="Consolas" w:eastAsia="微软雅黑"/>
          <w:b w:val="0"/>
          <w:color w:val="1F4D78"/>
          <w:sz w:val="20"/>
        </w:rPr>
        <w:t>asset_rent_collections</w:t>
      </w:r>
      <w:r>
        <w:rPr>
          <w:rFonts w:ascii="Calibri" w:hAnsi="Calibri" w:eastAsia="微软雅黑"/>
          <w:b w:val="0"/>
          <w:color w:val="1F4D78"/>
          <w:sz w:val="21"/>
        </w:rPr>
        <w:t xml:space="preserve"> 子表：弹窗内动态明细表新增/编辑/删除、应缴/实缴/差额实时汇总、缴款方式枚举“直缴非税/现金/微信/其他”且默认直缴非税、归档只读、变更写入字段级日志）、合同主表改名 </w:t>
      </w:r>
      <w:r>
        <w:rPr>
          <w:rFonts w:ascii="Consolas" w:hAnsi="Consolas" w:eastAsia="微软雅黑"/>
          <w:b w:val="0"/>
          <w:color w:val="1F4D78"/>
          <w:sz w:val="20"/>
        </w:rPr>
        <w:t>project_contracts</w:t>
      </w:r>
      <w:r>
        <w:rPr>
          <w:rFonts w:ascii="Calibri" w:hAnsi="Calibri" w:eastAsia="微软雅黑"/>
          <w:b w:val="0"/>
          <w:color w:val="1F4D78"/>
          <w:sz w:val="21"/>
        </w:rPr>
        <w:t>、首页卡片与提醒列表改版（五张卡片悬停环形图气泡 + “待收/支提醒”）、查询统计双选项卡，以及字段级变更日志；</w:t>
      </w:r>
      <w:r>
        <w:rPr>
          <w:rFonts w:ascii="Consolas" w:hAnsi="Consolas" w:eastAsia="微软雅黑"/>
          <w:b w:val="0"/>
          <w:color w:val="1F4D78"/>
          <w:sz w:val="20"/>
        </w:rPr>
        <w:t>schema_version</w:t>
      </w:r>
      <w:r>
        <w:rPr>
          <w:rFonts w:ascii="Calibri" w:hAnsi="Calibri" w:eastAsia="微软雅黑"/>
          <w:b w:val="0"/>
          <w:color w:val="1F4D78"/>
          <w:sz w:val="21"/>
        </w:rPr>
        <w:t xml:space="preserve"> 已到 </w:t>
      </w:r>
      <w:r>
        <w:rPr>
          <w:rFonts w:ascii="Calibri" w:hAnsi="Calibri" w:eastAsia="微软雅黑"/>
          <w:b/>
          <w:color w:val="1F4D78"/>
          <w:sz w:val="21"/>
        </w:rPr>
        <w:t>v18</w:t>
      </w:r>
      <w:r>
        <w:rPr>
          <w:rFonts w:ascii="Calibri" w:hAnsi="Calibri" w:eastAsia="微软雅黑"/>
          <w:b w:val="0"/>
          <w:color w:val="1F4D78"/>
          <w:sz w:val="21"/>
        </w:rPr>
        <w:t>。本报告中“附件管理为三类（决策依据/合同/验收结算）”指项目合同，资产合同附件为三类（</w:t>
      </w:r>
      <w:r>
        <w:rPr>
          <w:rFonts w:ascii="Calibri" w:hAnsi="Calibri" w:eastAsia="微软雅黑"/>
          <w:b/>
          <w:color w:val="1F4D78"/>
          <w:sz w:val="21"/>
        </w:rPr>
        <w:t>资产现状图片</w:t>
      </w:r>
      <w:r>
        <w:rPr>
          <w:rFonts w:ascii="Calibri" w:hAnsi="Calibri" w:eastAsia="微软雅黑"/>
          <w:b w:val="0"/>
          <w:color w:val="1F4D78"/>
          <w:sz w:val="21"/>
        </w:rPr>
        <w:t>/决策依据/合同）。最新功能与结构见《系统开发文档》V1.3、《数据字典表》V1.4 与《用户操作手册》V1.4。</w:t>
      </w:r>
    </w:p>
    <w:p>
      <w:pPr>
        <w:pStyle w:val="Heading1"/>
      </w:pPr>
      <w:r>
        <w:rPr>
          <w:rFonts w:ascii="Calibri" w:hAnsi="Calibri" w:eastAsia="微软雅黑"/>
          <w:b/>
          <w:color w:val="2E74B5"/>
          <w:sz w:val="32"/>
        </w:rPr>
        <w:t>二、总体评价</w:t>
      </w:r>
    </w:p>
    <w:p>
      <w:pPr>
        <w:pStyle w:val="ListBullet"/>
      </w:pPr>
      <w:r>
        <w:rPr>
          <w:rFonts w:ascii="Calibri" w:hAnsi="Calibri" w:eastAsia="微软雅黑"/>
          <w:b w:val="0"/>
          <w:color w:val="333333"/>
          <w:sz w:val="22"/>
        </w:rPr>
        <w:t>核心业务闭环完整：合同从新增、查询、统计、导出、归档到提醒的全流程可用，界面蓝色科技风格统一，操作体验良好。</w:t>
      </w:r>
    </w:p>
    <w:p>
      <w:pPr>
        <w:pStyle w:val="ListBullet"/>
      </w:pPr>
      <w:r>
        <w:rPr>
          <w:rFonts w:ascii="Calibri" w:hAnsi="Calibri" w:eastAsia="微软雅黑"/>
          <w:b w:val="0"/>
          <w:color w:val="333333"/>
          <w:sz w:val="22"/>
        </w:rPr>
        <w:t>权限模型合理：管理员全量可见，普通用户与查询用户按“本部门加分管部门”统一过滤列表、提醒、统计与导出，口径一致。</w:t>
      </w:r>
    </w:p>
    <w:p>
      <w:pPr>
        <w:pStyle w:val="ListBullet"/>
      </w:pPr>
      <w:r>
        <w:rPr>
          <w:rFonts w:ascii="Calibri" w:hAnsi="Calibri" w:eastAsia="微软雅黑"/>
          <w:b w:val="0"/>
          <w:color w:val="333333"/>
          <w:sz w:val="22"/>
        </w:rPr>
        <w:t>数据基础扎实：数据字典、用户操作手册、第三方许可清单已配套，具备交付与审计条件。</w:t>
      </w:r>
    </w:p>
    <w:p>
      <w:pPr>
        <w:pStyle w:val="ListBullet"/>
      </w:pPr>
      <w:r>
        <w:rPr>
          <w:rFonts w:ascii="Calibri" w:hAnsi="Calibri" w:eastAsia="微软雅黑"/>
          <w:b w:val="0"/>
          <w:color w:val="333333"/>
          <w:sz w:val="22"/>
        </w:rPr>
        <w:t>存在的差距：缺少合同状态管理、财务金额勾稽校验、删除复核留痕与主动提醒触达；安全方面密码存储与登录防护可进一步加固。</w:t>
      </w:r>
    </w:p>
    <w:p>
      <w:pPr>
        <w:pStyle w:val="Heading1"/>
      </w:pPr>
      <w:r>
        <w:rPr>
          <w:rFonts w:ascii="Calibri" w:hAnsi="Calibri" w:eastAsia="微软雅黑"/>
          <w:b/>
          <w:color w:val="2E74B5"/>
          <w:sz w:val="32"/>
        </w:rPr>
        <w:t>三、已满足需求核对</w:t>
      </w:r>
    </w:p>
    <w:tbl>
      <w:tblPr>
        <w:tblStyle w:val="TableGrid"/>
        <w:tblW w:type="dxa" w:w="9638"/>
        <w:jc w:val="left"/>
        <w:tblLook w:firstColumn="1" w:firstRow="1" w:lastColumn="0" w:lastRow="0" w:noHBand="0" w:noVBand="1" w:val="04A0"/>
        <w:tblInd w:w="120" w:type="dxa"/>
        <w:tblLayout w:type="fixed"/>
      </w:tblPr>
      <w:tblGrid>
        <w:gridCol w:w="2608"/>
        <w:gridCol w:w="1814"/>
        <w:gridCol w:w="5216"/>
      </w:tblGrid>
      <w:tr>
        <w:tc>
          <w:tcPr>
            <w:tcW w:type="dxa" w:w="2608"/>
            <w:shd w:val="clear" w:color="auto" w:fill="2E74B5"/>
          </w:tcPr>
          <w:p>
            <w:pPr>
              <w:spacing w:after="40" w:before="40"/>
            </w:pPr>
            <w:r>
              <w:rPr>
                <w:rFonts w:ascii="Calibri" w:hAnsi="Calibri" w:eastAsia="微软雅黑"/>
                <w:b/>
                <w:color w:val="FFFFFF"/>
                <w:sz w:val="21"/>
              </w:rPr>
              <w:t>功能模块</w:t>
            </w:r>
          </w:p>
        </w:tc>
        <w:tc>
          <w:tcPr>
            <w:tcW w:type="dxa" w:w="1814"/>
            <w:shd w:val="clear" w:color="auto" w:fill="2E74B5"/>
          </w:tcPr>
          <w:p>
            <w:pPr>
              <w:spacing w:after="40" w:before="40"/>
            </w:pPr>
            <w:r>
              <w:rPr>
                <w:rFonts w:ascii="Calibri" w:hAnsi="Calibri" w:eastAsia="微软雅黑"/>
                <w:b/>
                <w:color w:val="FFFFFF"/>
                <w:sz w:val="21"/>
              </w:rPr>
              <w:t>状态</w:t>
            </w:r>
          </w:p>
        </w:tc>
        <w:tc>
          <w:tcPr>
            <w:tcW w:type="dxa" w:w="5216"/>
            <w:shd w:val="clear" w:color="auto" w:fill="2E74B5"/>
          </w:tcPr>
          <w:p>
            <w:pPr>
              <w:spacing w:after="40" w:before="40"/>
            </w:pPr>
            <w:r>
              <w:rPr>
                <w:rFonts w:ascii="Calibri" w:hAnsi="Calibri" w:eastAsia="微软雅黑"/>
                <w:b/>
                <w:color w:val="FFFFFF"/>
                <w:sz w:val="21"/>
              </w:rPr>
              <w:t>说明</w:t>
            </w:r>
          </w:p>
        </w:tc>
      </w:tr>
      <w:tr>
        <w:tc>
          <w:tcPr>
            <w:tcW w:type="dxa" w:w="2608"/>
          </w:tcPr>
          <w:p>
            <w:pPr>
              <w:spacing w:after="40" w:before="40"/>
            </w:pPr>
            <w:r>
              <w:rPr>
                <w:rFonts w:ascii="Calibri" w:hAnsi="Calibri" w:eastAsia="微软雅黑"/>
                <w:b w:val="0"/>
                <w:color w:val="333333"/>
                <w:sz w:val="21"/>
              </w:rPr>
              <w:t>登录认证与角色权限</w:t>
            </w:r>
          </w:p>
        </w:tc>
        <w:tc>
          <w:tcPr>
            <w:tcW w:type="dxa" w:w="1814"/>
          </w:tcPr>
          <w:p>
            <w:pPr>
              <w:spacing w:after="40" w:before="40"/>
            </w:pPr>
            <w:r>
              <w:rPr>
                <w:rFonts w:ascii="Calibri" w:hAnsi="Calibri" w:eastAsia="微软雅黑"/>
                <w:b w:val="0"/>
                <w:color w:val="333333"/>
                <w:sz w:val="21"/>
              </w:rPr>
              <w:t>已满足</w:t>
            </w:r>
          </w:p>
        </w:tc>
        <w:tc>
          <w:tcPr>
            <w:tcW w:type="dxa" w:w="5216"/>
          </w:tcPr>
          <w:p>
            <w:pPr>
              <w:spacing w:after="40" w:before="40"/>
            </w:pPr>
            <w:r>
              <w:rPr>
                <w:rFonts w:ascii="Calibri" w:hAnsi="Calibri" w:eastAsia="微软雅黑"/>
                <w:b w:val="0"/>
                <w:color w:val="333333"/>
                <w:sz w:val="21"/>
              </w:rPr>
              <w:t>管理员、普通用户、查询用户三级角色，登录即校验权限</w:t>
            </w:r>
          </w:p>
        </w:tc>
      </w:tr>
      <w:tr>
        <w:tc>
          <w:tcPr>
            <w:tcW w:type="dxa" w:w="2608"/>
          </w:tcPr>
          <w:p>
            <w:pPr>
              <w:spacing w:after="40" w:before="40"/>
            </w:pPr>
            <w:r>
              <w:rPr>
                <w:rFonts w:ascii="Calibri" w:hAnsi="Calibri" w:eastAsia="微软雅黑"/>
                <w:b w:val="0"/>
                <w:color w:val="333333"/>
                <w:sz w:val="21"/>
              </w:rPr>
              <w:t>合同台账维护</w:t>
            </w:r>
          </w:p>
        </w:tc>
        <w:tc>
          <w:tcPr>
            <w:tcW w:type="dxa" w:w="1814"/>
          </w:tcPr>
          <w:p>
            <w:pPr>
              <w:spacing w:after="40" w:before="40"/>
            </w:pPr>
            <w:r>
              <w:rPr>
                <w:rFonts w:ascii="Calibri" w:hAnsi="Calibri" w:eastAsia="微软雅黑"/>
                <w:b w:val="0"/>
                <w:color w:val="333333"/>
                <w:sz w:val="21"/>
              </w:rPr>
              <w:t>已满足</w:t>
            </w:r>
          </w:p>
        </w:tc>
        <w:tc>
          <w:tcPr>
            <w:tcW w:type="dxa" w:w="5216"/>
          </w:tcPr>
          <w:p>
            <w:pPr>
              <w:spacing w:after="40" w:before="40"/>
            </w:pPr>
            <w:r>
              <w:rPr>
                <w:rFonts w:ascii="Calibri" w:hAnsi="Calibri" w:eastAsia="微软雅黑"/>
                <w:b w:val="0"/>
                <w:color w:val="333333"/>
                <w:sz w:val="21"/>
              </w:rPr>
              <w:t>29 列字段增删改查，所属部门自动注入，编号唯一性校验</w:t>
            </w:r>
          </w:p>
        </w:tc>
      </w:tr>
      <w:tr>
        <w:tc>
          <w:tcPr>
            <w:tcW w:type="dxa" w:w="2608"/>
          </w:tcPr>
          <w:p>
            <w:pPr>
              <w:spacing w:after="40" w:before="40"/>
            </w:pPr>
            <w:r>
              <w:rPr>
                <w:rFonts w:ascii="Calibri" w:hAnsi="Calibri" w:eastAsia="微软雅黑"/>
                <w:b w:val="0"/>
                <w:color w:val="333333"/>
                <w:sz w:val="21"/>
              </w:rPr>
              <w:t>合同查询筛选</w:t>
            </w:r>
          </w:p>
        </w:tc>
        <w:tc>
          <w:tcPr>
            <w:tcW w:type="dxa" w:w="1814"/>
          </w:tcPr>
          <w:p>
            <w:pPr>
              <w:spacing w:after="40" w:before="40"/>
            </w:pPr>
            <w:r>
              <w:rPr>
                <w:rFonts w:ascii="Calibri" w:hAnsi="Calibri" w:eastAsia="微软雅黑"/>
                <w:b w:val="0"/>
                <w:color w:val="333333"/>
                <w:sz w:val="21"/>
              </w:rPr>
              <w:t>已满足</w:t>
            </w:r>
          </w:p>
        </w:tc>
        <w:tc>
          <w:tcPr>
            <w:tcW w:type="dxa" w:w="5216"/>
          </w:tcPr>
          <w:p>
            <w:pPr>
              <w:spacing w:after="40" w:before="40"/>
            </w:pPr>
            <w:r>
              <w:rPr>
                <w:rFonts w:ascii="Calibri" w:hAnsi="Calibri" w:eastAsia="微软雅黑"/>
                <w:b w:val="0"/>
                <w:color w:val="333333"/>
                <w:sz w:val="21"/>
              </w:rPr>
              <w:t>多条件组合筛选、分页（20/50 条）、详情查看</w:t>
            </w:r>
          </w:p>
        </w:tc>
      </w:tr>
      <w:tr>
        <w:tc>
          <w:tcPr>
            <w:tcW w:type="dxa" w:w="2608"/>
          </w:tcPr>
          <w:p>
            <w:pPr>
              <w:spacing w:after="40" w:before="40"/>
            </w:pPr>
            <w:r>
              <w:rPr>
                <w:rFonts w:ascii="Calibri" w:hAnsi="Calibri" w:eastAsia="微软雅黑"/>
                <w:b w:val="0"/>
                <w:color w:val="333333"/>
                <w:sz w:val="21"/>
              </w:rPr>
              <w:t>统计与图表</w:t>
            </w:r>
          </w:p>
        </w:tc>
        <w:tc>
          <w:tcPr>
            <w:tcW w:type="dxa" w:w="1814"/>
          </w:tcPr>
          <w:p>
            <w:pPr>
              <w:spacing w:after="40" w:before="40"/>
            </w:pPr>
            <w:r>
              <w:rPr>
                <w:rFonts w:ascii="Calibri" w:hAnsi="Calibri" w:eastAsia="微软雅黑"/>
                <w:b w:val="0"/>
                <w:color w:val="333333"/>
                <w:sz w:val="21"/>
              </w:rPr>
              <w:t>已满足</w:t>
            </w:r>
          </w:p>
        </w:tc>
        <w:tc>
          <w:tcPr>
            <w:tcW w:type="dxa" w:w="5216"/>
          </w:tcPr>
          <w:p>
            <w:pPr>
              <w:spacing w:after="40" w:before="40"/>
            </w:pPr>
            <w:r>
              <w:rPr>
                <w:rFonts w:ascii="Calibri" w:hAnsi="Calibri" w:eastAsia="微软雅黑"/>
                <w:b w:val="0"/>
                <w:color w:val="333333"/>
                <w:sz w:val="21"/>
              </w:rPr>
              <w:t>按部门、经办人、时间、分类统计，柱状图、饼图、折线图</w:t>
            </w:r>
          </w:p>
        </w:tc>
      </w:tr>
      <w:tr>
        <w:tc>
          <w:tcPr>
            <w:tcW w:type="dxa" w:w="2608"/>
          </w:tcPr>
          <w:p>
            <w:pPr>
              <w:spacing w:after="40" w:before="40"/>
            </w:pPr>
            <w:r>
              <w:rPr>
                <w:rFonts w:ascii="Calibri" w:hAnsi="Calibri" w:eastAsia="微软雅黑"/>
                <w:b w:val="0"/>
                <w:color w:val="333333"/>
                <w:sz w:val="21"/>
              </w:rPr>
              <w:t>数据导出与导入</w:t>
            </w:r>
          </w:p>
        </w:tc>
        <w:tc>
          <w:tcPr>
            <w:tcW w:type="dxa" w:w="1814"/>
          </w:tcPr>
          <w:p>
            <w:pPr>
              <w:spacing w:after="40" w:before="40"/>
            </w:pPr>
            <w:r>
              <w:rPr>
                <w:rFonts w:ascii="Calibri" w:hAnsi="Calibri" w:eastAsia="微软雅黑"/>
                <w:b w:val="0"/>
                <w:color w:val="333333"/>
                <w:sz w:val="21"/>
              </w:rPr>
              <w:t>已满足</w:t>
            </w:r>
          </w:p>
        </w:tc>
        <w:tc>
          <w:tcPr>
            <w:tcW w:type="dxa" w:w="5216"/>
          </w:tcPr>
          <w:p>
            <w:pPr>
              <w:spacing w:after="40" w:before="40"/>
            </w:pPr>
            <w:r>
              <w:rPr>
                <w:rFonts w:ascii="Calibri" w:hAnsi="Calibri" w:eastAsia="微软雅黑"/>
                <w:b w:val="0"/>
                <w:color w:val="333333"/>
                <w:sz w:val="21"/>
              </w:rPr>
              <w:t>查询结果导出 xlsx，支持 Excel 批量导入</w:t>
            </w:r>
          </w:p>
        </w:tc>
      </w:tr>
      <w:tr>
        <w:tc>
          <w:tcPr>
            <w:tcW w:type="dxa" w:w="2608"/>
          </w:tcPr>
          <w:p>
            <w:pPr>
              <w:spacing w:after="40" w:before="40"/>
            </w:pPr>
            <w:r>
              <w:rPr>
                <w:rFonts w:ascii="Calibri" w:hAnsi="Calibri" w:eastAsia="微软雅黑"/>
                <w:b w:val="0"/>
                <w:color w:val="333333"/>
                <w:sz w:val="21"/>
              </w:rPr>
              <w:t>到期提醒</w:t>
            </w:r>
          </w:p>
        </w:tc>
        <w:tc>
          <w:tcPr>
            <w:tcW w:type="dxa" w:w="1814"/>
          </w:tcPr>
          <w:p>
            <w:pPr>
              <w:spacing w:after="40" w:before="40"/>
            </w:pPr>
            <w:r>
              <w:rPr>
                <w:rFonts w:ascii="Calibri" w:hAnsi="Calibri" w:eastAsia="微软雅黑"/>
                <w:b w:val="0"/>
                <w:color w:val="333333"/>
                <w:sz w:val="21"/>
              </w:rPr>
              <w:t>已满足</w:t>
            </w:r>
          </w:p>
        </w:tc>
        <w:tc>
          <w:tcPr>
            <w:tcW w:type="dxa" w:w="5216"/>
          </w:tcPr>
          <w:p>
            <w:pPr>
              <w:spacing w:after="40" w:before="40"/>
            </w:pPr>
            <w:r>
              <w:rPr>
                <w:rFonts w:ascii="Calibri" w:hAnsi="Calibri" w:eastAsia="微软雅黑"/>
                <w:b w:val="0"/>
                <w:color w:val="333333"/>
                <w:sz w:val="21"/>
              </w:rPr>
              <w:t>下次招采时间减去提醒天数，全局默认 60 天可配置</w:t>
            </w:r>
          </w:p>
        </w:tc>
      </w:tr>
      <w:tr>
        <w:tc>
          <w:tcPr>
            <w:tcW w:type="dxa" w:w="2608"/>
          </w:tcPr>
          <w:p>
            <w:pPr>
              <w:spacing w:after="40" w:before="40"/>
            </w:pPr>
            <w:r>
              <w:rPr>
                <w:rFonts w:ascii="Calibri" w:hAnsi="Calibri" w:eastAsia="微软雅黑"/>
                <w:b w:val="0"/>
                <w:color w:val="333333"/>
                <w:sz w:val="21"/>
              </w:rPr>
              <w:t>首页仪表板</w:t>
            </w:r>
          </w:p>
        </w:tc>
        <w:tc>
          <w:tcPr>
            <w:tcW w:type="dxa" w:w="1814"/>
          </w:tcPr>
          <w:p>
            <w:pPr>
              <w:spacing w:after="40" w:before="40"/>
            </w:pPr>
            <w:r>
              <w:rPr>
                <w:rFonts w:ascii="Calibri" w:hAnsi="Calibri" w:eastAsia="微软雅黑"/>
                <w:b w:val="0"/>
                <w:color w:val="333333"/>
                <w:sz w:val="21"/>
              </w:rPr>
              <w:t>已满足</w:t>
            </w:r>
          </w:p>
        </w:tc>
        <w:tc>
          <w:tcPr>
            <w:tcW w:type="dxa" w:w="5216"/>
          </w:tcPr>
          <w:p>
            <w:pPr>
              <w:spacing w:after="40" w:before="40"/>
            </w:pPr>
            <w:r>
              <w:rPr>
                <w:rFonts w:ascii="Calibri" w:hAnsi="Calibri" w:eastAsia="微软雅黑"/>
                <w:b w:val="0"/>
                <w:color w:val="333333"/>
                <w:sz w:val="21"/>
              </w:rPr>
              <w:t>五张统计卡片：总合同数、总合同额、已/将到期合同数、</w:t>
            </w:r>
            <w:r>
              <w:rPr>
                <w:rFonts w:ascii="Calibri" w:hAnsi="Calibri" w:eastAsia="微软雅黑"/>
                <w:b/>
                <w:color w:val="333333"/>
                <w:sz w:val="21"/>
              </w:rPr>
              <w:t>待收/支合同数</w:t>
            </w:r>
            <w:r>
              <w:rPr>
                <w:rFonts w:ascii="Calibri" w:hAnsi="Calibri" w:eastAsia="微软雅黑"/>
                <w:b w:val="0"/>
                <w:color w:val="333333"/>
                <w:sz w:val="21"/>
              </w:rPr>
              <w:t>、</w:t>
            </w:r>
            <w:r>
              <w:rPr>
                <w:rFonts w:ascii="Calibri" w:hAnsi="Calibri" w:eastAsia="微软雅黑"/>
                <w:b/>
                <w:color w:val="333333"/>
                <w:sz w:val="21"/>
              </w:rPr>
              <w:t>待收/支总金额</w:t>
            </w:r>
            <w:r>
              <w:rPr>
                <w:rFonts w:ascii="Calibri" w:hAnsi="Calibri" w:eastAsia="微软雅黑"/>
                <w:b w:val="0"/>
                <w:color w:val="333333"/>
                <w:sz w:val="21"/>
              </w:rPr>
              <w:t>（数据范围按角色过滤；V1.4 起前三张之外的“待收/支”两张亦支持悬停查看“待收/待支”构成占比）</w:t>
            </w:r>
          </w:p>
        </w:tc>
      </w:tr>
      <w:tr>
        <w:tc>
          <w:tcPr>
            <w:tcW w:type="dxa" w:w="2608"/>
          </w:tcPr>
          <w:p>
            <w:pPr>
              <w:spacing w:after="40" w:before="40"/>
            </w:pPr>
            <w:r>
              <w:rPr>
                <w:rFonts w:ascii="Calibri" w:hAnsi="Calibri" w:eastAsia="微软雅黑"/>
                <w:b w:val="0"/>
                <w:color w:val="333333"/>
                <w:sz w:val="21"/>
              </w:rPr>
              <w:t>用户管理</w:t>
            </w:r>
          </w:p>
        </w:tc>
        <w:tc>
          <w:tcPr>
            <w:tcW w:type="dxa" w:w="1814"/>
          </w:tcPr>
          <w:p>
            <w:pPr>
              <w:spacing w:after="40" w:before="40"/>
            </w:pPr>
            <w:r>
              <w:rPr>
                <w:rFonts w:ascii="Calibri" w:hAnsi="Calibri" w:eastAsia="微软雅黑"/>
                <w:b w:val="0"/>
                <w:color w:val="333333"/>
                <w:sz w:val="21"/>
              </w:rPr>
              <w:t>已满足</w:t>
            </w:r>
          </w:p>
        </w:tc>
        <w:tc>
          <w:tcPr>
            <w:tcW w:type="dxa" w:w="5216"/>
          </w:tcPr>
          <w:p>
            <w:pPr>
              <w:spacing w:after="40" w:before="40"/>
            </w:pPr>
            <w:r>
              <w:rPr>
                <w:rFonts w:ascii="Calibri" w:hAnsi="Calibri" w:eastAsia="微软雅黑"/>
                <w:b w:val="0"/>
                <w:color w:val="333333"/>
                <w:sz w:val="21"/>
              </w:rPr>
              <w:t>用户增删改、重置密码、分管部门授权</w:t>
            </w:r>
          </w:p>
        </w:tc>
      </w:tr>
      <w:tr>
        <w:tc>
          <w:tcPr>
            <w:tcW w:type="dxa" w:w="2608"/>
          </w:tcPr>
          <w:p>
            <w:pPr>
              <w:spacing w:after="40" w:before="40"/>
            </w:pPr>
            <w:r>
              <w:rPr>
                <w:rFonts w:ascii="Calibri" w:hAnsi="Calibri" w:eastAsia="微软雅黑"/>
                <w:b w:val="0"/>
                <w:color w:val="333333"/>
                <w:sz w:val="21"/>
              </w:rPr>
              <w:t>部门管理</w:t>
            </w:r>
          </w:p>
        </w:tc>
        <w:tc>
          <w:tcPr>
            <w:tcW w:type="dxa" w:w="1814"/>
          </w:tcPr>
          <w:p>
            <w:pPr>
              <w:spacing w:after="40" w:before="40"/>
            </w:pPr>
            <w:r>
              <w:rPr>
                <w:rFonts w:ascii="Calibri" w:hAnsi="Calibri" w:eastAsia="微软雅黑"/>
                <w:b w:val="0"/>
                <w:color w:val="333333"/>
                <w:sz w:val="21"/>
              </w:rPr>
              <w:t>已满足</w:t>
            </w:r>
          </w:p>
        </w:tc>
        <w:tc>
          <w:tcPr>
            <w:tcW w:type="dxa" w:w="5216"/>
          </w:tcPr>
          <w:p>
            <w:pPr>
              <w:spacing w:after="40" w:before="40"/>
            </w:pPr>
            <w:r>
              <w:rPr>
                <w:rFonts w:ascii="Calibri" w:hAnsi="Calibri" w:eastAsia="微软雅黑"/>
                <w:b w:val="0"/>
                <w:color w:val="333333"/>
                <w:sz w:val="21"/>
              </w:rPr>
              <w:t>部门组合维护，删除前校验关联用户</w:t>
            </w:r>
          </w:p>
        </w:tc>
      </w:tr>
      <w:tr>
        <w:tc>
          <w:tcPr>
            <w:tcW w:type="dxa" w:w="2608"/>
          </w:tcPr>
          <w:p>
            <w:pPr>
              <w:spacing w:after="40" w:before="40"/>
            </w:pPr>
            <w:r>
              <w:rPr>
                <w:rFonts w:ascii="Calibri" w:hAnsi="Calibri" w:eastAsia="微软雅黑"/>
                <w:b w:val="0"/>
                <w:color w:val="333333"/>
                <w:sz w:val="21"/>
              </w:rPr>
              <w:t>日志审计</w:t>
            </w:r>
          </w:p>
        </w:tc>
        <w:tc>
          <w:tcPr>
            <w:tcW w:type="dxa" w:w="1814"/>
          </w:tcPr>
          <w:p>
            <w:pPr>
              <w:spacing w:after="40" w:before="40"/>
            </w:pPr>
            <w:r>
              <w:rPr>
                <w:rFonts w:ascii="Calibri" w:hAnsi="Calibri" w:eastAsia="微软雅黑"/>
                <w:b w:val="0"/>
                <w:color w:val="333333"/>
                <w:sz w:val="21"/>
              </w:rPr>
              <w:t>已满足</w:t>
            </w:r>
          </w:p>
        </w:tc>
        <w:tc>
          <w:tcPr>
            <w:tcW w:type="dxa" w:w="5216"/>
          </w:tcPr>
          <w:p>
            <w:pPr>
              <w:spacing w:after="40" w:before="40"/>
            </w:pPr>
            <w:r>
              <w:rPr>
                <w:rFonts w:ascii="Calibri" w:hAnsi="Calibri" w:eastAsia="微软雅黑"/>
                <w:b w:val="0"/>
                <w:color w:val="333333"/>
                <w:sz w:val="21"/>
              </w:rPr>
              <w:t>分级查看、筛选、管理员导出，保留天数可配置</w:t>
            </w:r>
          </w:p>
        </w:tc>
      </w:tr>
      <w:tr>
        <w:tc>
          <w:tcPr>
            <w:tcW w:type="dxa" w:w="2608"/>
          </w:tcPr>
          <w:p>
            <w:pPr>
              <w:spacing w:after="40" w:before="40"/>
            </w:pPr>
            <w:r>
              <w:rPr>
                <w:rFonts w:ascii="Calibri" w:hAnsi="Calibri" w:eastAsia="微软雅黑"/>
                <w:b w:val="0"/>
                <w:color w:val="333333"/>
                <w:sz w:val="21"/>
              </w:rPr>
              <w:t>合同归档</w:t>
            </w:r>
          </w:p>
        </w:tc>
        <w:tc>
          <w:tcPr>
            <w:tcW w:type="dxa" w:w="1814"/>
          </w:tcPr>
          <w:p>
            <w:pPr>
              <w:spacing w:after="40" w:before="40"/>
            </w:pPr>
            <w:r>
              <w:rPr>
                <w:rFonts w:ascii="Calibri" w:hAnsi="Calibri" w:eastAsia="微软雅黑"/>
                <w:b w:val="0"/>
                <w:color w:val="333333"/>
                <w:sz w:val="21"/>
              </w:rPr>
              <w:t>已满足</w:t>
            </w:r>
          </w:p>
        </w:tc>
        <w:tc>
          <w:tcPr>
            <w:tcW w:type="dxa" w:w="5216"/>
          </w:tcPr>
          <w:p>
            <w:pPr>
              <w:spacing w:after="40" w:before="40"/>
            </w:pPr>
            <w:r>
              <w:rPr>
                <w:rFonts w:ascii="Calibri" w:hAnsi="Calibri" w:eastAsia="微软雅黑"/>
                <w:b w:val="0"/>
                <w:color w:val="333333"/>
                <w:sz w:val="21"/>
              </w:rPr>
              <w:t>归档后只读，所有用户仅可浏览</w:t>
            </w:r>
          </w:p>
        </w:tc>
      </w:tr>
      <w:tr>
        <w:tc>
          <w:tcPr>
            <w:tcW w:type="dxa" w:w="2608"/>
          </w:tcPr>
          <w:p>
            <w:pPr>
              <w:spacing w:after="40" w:before="40"/>
            </w:pPr>
            <w:r>
              <w:rPr>
                <w:rFonts w:ascii="Calibri" w:hAnsi="Calibri" w:eastAsia="微软雅黑"/>
                <w:b w:val="0"/>
                <w:color w:val="333333"/>
                <w:sz w:val="21"/>
              </w:rPr>
              <w:t>附件管理</w:t>
            </w:r>
          </w:p>
        </w:tc>
        <w:tc>
          <w:tcPr>
            <w:tcW w:type="dxa" w:w="1814"/>
          </w:tcPr>
          <w:p>
            <w:pPr>
              <w:spacing w:after="40" w:before="40"/>
            </w:pPr>
            <w:r>
              <w:rPr>
                <w:rFonts w:ascii="Calibri" w:hAnsi="Calibri" w:eastAsia="微软雅黑"/>
                <w:b w:val="0"/>
                <w:color w:val="333333"/>
                <w:sz w:val="21"/>
              </w:rPr>
              <w:t>已满足（扩展）</w:t>
            </w:r>
          </w:p>
        </w:tc>
        <w:tc>
          <w:tcPr>
            <w:tcW w:type="dxa" w:w="5216"/>
          </w:tcPr>
          <w:p>
            <w:pPr>
              <w:spacing w:after="40" w:before="40"/>
            </w:pPr>
            <w:r>
              <w:rPr>
                <w:rFonts w:ascii="Calibri" w:hAnsi="Calibri" w:eastAsia="微软雅黑"/>
                <w:b w:val="0"/>
                <w:color w:val="333333"/>
                <w:sz w:val="21"/>
              </w:rPr>
              <w:t>决策依据、合同、验收结算三类附件上传下载</w:t>
            </w:r>
          </w:p>
        </w:tc>
      </w:tr>
      <w:tr>
        <w:tc>
          <w:tcPr>
            <w:tcW w:type="dxa" w:w="2608"/>
          </w:tcPr>
          <w:p>
            <w:pPr>
              <w:spacing w:after="40" w:before="40"/>
            </w:pPr>
            <w:r>
              <w:rPr>
                <w:rFonts w:ascii="Calibri" w:hAnsi="Calibri" w:eastAsia="微软雅黑"/>
                <w:b w:val="0"/>
                <w:color w:val="333333"/>
                <w:sz w:val="21"/>
              </w:rPr>
              <w:t>系统设置</w:t>
            </w:r>
          </w:p>
        </w:tc>
        <w:tc>
          <w:tcPr>
            <w:tcW w:type="dxa" w:w="1814"/>
          </w:tcPr>
          <w:p>
            <w:pPr>
              <w:spacing w:after="40" w:before="40"/>
            </w:pPr>
            <w:r>
              <w:rPr>
                <w:rFonts w:ascii="Calibri" w:hAnsi="Calibri" w:eastAsia="微软雅黑"/>
                <w:b w:val="0"/>
                <w:color w:val="333333"/>
                <w:sz w:val="21"/>
              </w:rPr>
              <w:t>已满足</w:t>
            </w:r>
          </w:p>
        </w:tc>
        <w:tc>
          <w:tcPr>
            <w:tcW w:type="dxa" w:w="5216"/>
          </w:tcPr>
          <w:p>
            <w:pPr>
              <w:spacing w:after="40" w:before="40"/>
            </w:pPr>
            <w:r>
              <w:rPr>
                <w:rFonts w:ascii="Calibri" w:hAnsi="Calibri" w:eastAsia="微软雅黑"/>
                <w:b w:val="0"/>
                <w:color w:val="333333"/>
                <w:sz w:val="21"/>
              </w:rPr>
              <w:t>默认提醒天数、日志保留天数可配置</w:t>
            </w:r>
          </w:p>
        </w:tc>
      </w:tr>
    </w:tbl>
    <w:p>
      <w:pPr>
        <w:spacing w:after="40"/>
      </w:pPr>
    </w:p>
    <w:p>
      <w:pPr>
        <w:pStyle w:val="Heading1"/>
      </w:pPr>
      <w:r>
        <w:rPr>
          <w:rFonts w:ascii="Calibri" w:hAnsi="Calibri" w:eastAsia="微软雅黑"/>
          <w:b/>
          <w:color w:val="2E74B5"/>
          <w:sz w:val="32"/>
        </w:rPr>
        <w:t>四、建议新增功能</w:t>
      </w:r>
    </w:p>
    <w:p>
      <w:pPr>
        <w:pStyle w:val="Heading2"/>
      </w:pPr>
      <w:r>
        <w:rPr>
          <w:rFonts w:ascii="Calibri" w:hAnsi="Calibri" w:eastAsia="微软雅黑"/>
          <w:b/>
          <w:color w:val="2E74B5"/>
          <w:sz w:val="26"/>
        </w:rPr>
        <w:t>（一）高优先级：直接影响业务合规与风险防控</w:t>
      </w:r>
    </w:p>
    <w:p>
      <w:pPr>
        <w:pStyle w:val="ListBullet"/>
      </w:pPr>
      <w:r>
        <w:rPr>
          <w:rFonts w:ascii="Calibri" w:hAnsi="Calibri" w:eastAsia="微软雅黑"/>
          <w:b/>
          <w:color w:val="333333"/>
          <w:sz w:val="22"/>
        </w:rPr>
        <w:t>增加“合同状态”字段</w:t>
      </w:r>
      <w:r>
        <w:rPr>
          <w:rFonts w:ascii="Calibri" w:hAnsi="Calibri" w:eastAsia="微软雅黑"/>
          <w:b w:val="0"/>
          <w:color w:val="333333"/>
          <w:sz w:val="22"/>
        </w:rPr>
        <w:t>：建议状态为拟签、执行中、已完工、已结算、已终止、已归档，替代当前分散的“是否结算加归档状态”标志，由状态驱动统计口径与编辑权限，避免口径混乱。</w:t>
      </w:r>
    </w:p>
    <w:p>
      <w:pPr>
        <w:pStyle w:val="ListBullet"/>
      </w:pPr>
      <w:r>
        <w:rPr>
          <w:rFonts w:ascii="Calibri" w:hAnsi="Calibri" w:eastAsia="微软雅黑"/>
          <w:b/>
          <w:color w:val="333333"/>
          <w:sz w:val="22"/>
        </w:rPr>
        <w:t>增加财务勾稽校验</w:t>
      </w:r>
      <w:r>
        <w:rPr>
          <w:rFonts w:ascii="Calibri" w:hAnsi="Calibri" w:eastAsia="微软雅黑"/>
          <w:b w:val="0"/>
          <w:color w:val="333333"/>
          <w:sz w:val="22"/>
        </w:rPr>
        <w:t>：未支付金额自动按“结算金额减已支付”计算或提交校验；合同金额必须大于 0；日期逻辑校验（完工时间不得早于开工时间、下次招采时间应晚于当前日期），防止手工数据矛盾。</w:t>
      </w:r>
    </w:p>
    <w:p>
      <w:pPr>
        <w:pStyle w:val="ListBullet"/>
      </w:pPr>
      <w:r>
        <w:rPr>
          <w:rFonts w:ascii="Calibri" w:hAnsi="Calibri" w:eastAsia="微软雅黑"/>
          <w:b/>
          <w:color w:val="333333"/>
          <w:sz w:val="22"/>
        </w:rPr>
        <w:t>删除与修改复核留痕</w:t>
      </w:r>
      <w:r>
        <w:rPr>
          <w:rFonts w:ascii="Calibri" w:hAnsi="Calibri" w:eastAsia="微软雅黑"/>
          <w:b w:val="0"/>
          <w:color w:val="333333"/>
          <w:sz w:val="22"/>
        </w:rPr>
        <w:t>：删除、归档、清空下次招采时间等敏感操作除二次确认外，强制填写操作原因并记录到日志，满足经办与审批分离的机关管理要求。</w:t>
      </w:r>
    </w:p>
    <w:p>
      <w:pPr>
        <w:pStyle w:val="ListBullet"/>
      </w:pPr>
      <w:r>
        <w:rPr>
          <w:rFonts w:ascii="Calibri" w:hAnsi="Calibri" w:eastAsia="微软雅黑"/>
          <w:b/>
          <w:color w:val="333333"/>
          <w:sz w:val="22"/>
        </w:rPr>
        <w:t>提醒主动触达</w:t>
      </w:r>
      <w:r>
        <w:rPr>
          <w:rFonts w:ascii="Calibri" w:hAnsi="Calibri" w:eastAsia="微软雅黑"/>
          <w:b w:val="0"/>
          <w:color w:val="333333"/>
          <w:sz w:val="22"/>
        </w:rPr>
        <w:t>：当前提醒仅登录时实时计算，用户不上线即无法感知。建议首页增加“逾期未处理合同”列表，提醒支持“推迟 7/15/30 天”，远期可对接短信或邮件通知。</w:t>
      </w:r>
      <w:r>
        <w:rPr>
          <w:rFonts w:ascii="Calibri" w:hAnsi="Calibri" w:eastAsia="微软雅黑"/>
          <w:b/>
          <w:color w:val="333333"/>
          <w:sz w:val="22"/>
        </w:rPr>
        <w:t>（2026-10-10 更新：短信主动触达已上线——到期/待收/待支提醒按“每人一条、每周一次（默认周一 09:00，可配置）”自动下发，另提供合同内催办、点对点发送与失败重发；首页“逾期未处理”列表与“推迟”能力仍未实施。）</w:t>
      </w:r>
    </w:p>
    <w:p>
      <w:pPr>
        <w:pStyle w:val="Heading2"/>
      </w:pPr>
      <w:r>
        <w:rPr>
          <w:rFonts w:ascii="Calibri" w:hAnsi="Calibri" w:eastAsia="微软雅黑"/>
          <w:b/>
          <w:color w:val="2E74B5"/>
          <w:sz w:val="26"/>
        </w:rPr>
        <w:t>（二）中优先级：提升管理效率</w:t>
      </w:r>
    </w:p>
    <w:p>
      <w:pPr>
        <w:pStyle w:val="ListBullet"/>
      </w:pPr>
      <w:r>
        <w:rPr>
          <w:rFonts w:ascii="Calibri" w:hAnsi="Calibri" w:eastAsia="微软雅黑"/>
          <w:b/>
          <w:color w:val="333333"/>
          <w:sz w:val="22"/>
        </w:rPr>
        <w:t>统计维度增强</w:t>
      </w:r>
      <w:r>
        <w:rPr>
          <w:rFonts w:ascii="Calibri" w:hAnsi="Calibri" w:eastAsia="微软雅黑"/>
          <w:b w:val="0"/>
          <w:color w:val="333333"/>
          <w:sz w:val="22"/>
        </w:rPr>
        <w:t>：增加未支付金额汇总（欠款风险监控）、招标控制价与合同金额预算执行对比、按采购方式统计三个口径。</w:t>
      </w:r>
    </w:p>
    <w:p>
      <w:pPr>
        <w:pStyle w:val="ListBullet"/>
      </w:pPr>
      <w:r>
        <w:rPr>
          <w:rFonts w:ascii="Calibri" w:hAnsi="Calibri" w:eastAsia="微软雅黑"/>
          <w:b/>
          <w:color w:val="333333"/>
          <w:sz w:val="22"/>
        </w:rPr>
        <w:t>编号规则化</w:t>
      </w:r>
      <w:r>
        <w:rPr>
          <w:rFonts w:ascii="Calibri" w:hAnsi="Calibri" w:eastAsia="微软雅黑"/>
          <w:b w:val="0"/>
          <w:color w:val="333333"/>
          <w:sz w:val="22"/>
        </w:rPr>
        <w:t>：支持“年度加类别”自动编号（如 2026-FW-001），新增页面提供编号格式提示，降低手工编号错误。</w:t>
      </w:r>
    </w:p>
    <w:p>
      <w:pPr>
        <w:pStyle w:val="ListBullet"/>
      </w:pPr>
      <w:r>
        <w:rPr>
          <w:rFonts w:ascii="Calibri" w:hAnsi="Calibri" w:eastAsia="微软雅黑"/>
          <w:b/>
          <w:color w:val="333333"/>
          <w:sz w:val="22"/>
        </w:rPr>
        <w:t>附件管理补全</w:t>
      </w:r>
      <w:r>
        <w:rPr>
          <w:rFonts w:ascii="Calibri" w:hAnsi="Calibri" w:eastAsia="微软雅黑"/>
          <w:b w:val="0"/>
          <w:color w:val="333333"/>
          <w:sz w:val="22"/>
        </w:rPr>
        <w:t>：补充附件大小限制与格式白名单，附件目录纳入备份与恢复范围，附件操作留痕（当前已有日志埋点）。</w:t>
      </w:r>
    </w:p>
    <w:p>
      <w:pPr>
        <w:pStyle w:val="ListBullet"/>
      </w:pPr>
      <w:r>
        <w:rPr>
          <w:rFonts w:ascii="Calibri" w:hAnsi="Calibri" w:eastAsia="微软雅黑"/>
          <w:b/>
          <w:color w:val="333333"/>
          <w:sz w:val="22"/>
        </w:rPr>
        <w:t>台账批量操作</w:t>
      </w:r>
      <w:r>
        <w:rPr>
          <w:rFonts w:ascii="Calibri" w:hAnsi="Calibri" w:eastAsia="微软雅黑"/>
          <w:b w:val="0"/>
          <w:color w:val="333333"/>
          <w:sz w:val="22"/>
        </w:rPr>
        <w:t>：批量修改下次招采时间、批量归档，提升延续性项目维护效率。</w:t>
      </w:r>
    </w:p>
    <w:p>
      <w:pPr>
        <w:pStyle w:val="Heading2"/>
      </w:pPr>
      <w:r>
        <w:rPr>
          <w:rFonts w:ascii="Calibri" w:hAnsi="Calibri" w:eastAsia="微软雅黑"/>
          <w:b/>
          <w:color w:val="2E74B5"/>
          <w:sz w:val="26"/>
        </w:rPr>
        <w:t>（三）低优先级：可选增强</w:t>
      </w:r>
    </w:p>
    <w:p>
      <w:pPr>
        <w:pStyle w:val="ListBullet"/>
      </w:pPr>
      <w:r>
        <w:rPr>
          <w:rFonts w:ascii="Calibri" w:hAnsi="Calibri" w:eastAsia="微软雅黑"/>
          <w:b w:val="0"/>
          <w:color w:val="333333"/>
          <w:sz w:val="22"/>
        </w:rPr>
        <w:t>批量导入增加错误报告与逐条校验结果预览，导入前可下载标准模板。</w:t>
      </w:r>
    </w:p>
    <w:p>
      <w:pPr>
        <w:pStyle w:val="ListBullet"/>
      </w:pPr>
      <w:r>
        <w:rPr>
          <w:rFonts w:ascii="Calibri" w:hAnsi="Calibri" w:eastAsia="微软雅黑"/>
          <w:b w:val="0"/>
          <w:color w:val="333333"/>
          <w:sz w:val="22"/>
        </w:rPr>
        <w:t>首页增加“本月待办”“逾期未处理”小型卡片，方便领导快速掌握动态。</w:t>
      </w:r>
    </w:p>
    <w:p>
      <w:pPr>
        <w:pStyle w:val="Heading1"/>
      </w:pPr>
      <w:r>
        <w:rPr>
          <w:rFonts w:ascii="Calibri" w:hAnsi="Calibri" w:eastAsia="微软雅黑"/>
          <w:b/>
          <w:color w:val="2E74B5"/>
          <w:sz w:val="32"/>
        </w:rPr>
        <w:t>五、建议调整（安全与合规）</w:t>
      </w:r>
    </w:p>
    <w:tbl>
      <w:tblPr>
        <w:tblStyle w:val="TableGrid"/>
        <w:tblW w:type="dxa" w:w="9638"/>
        <w:jc w:val="left"/>
        <w:tblLook w:firstColumn="1" w:firstRow="1" w:lastColumn="0" w:lastRow="0" w:noHBand="0" w:noVBand="1" w:val="04A0"/>
        <w:tblInd w:w="120" w:type="dxa"/>
        <w:tblLayout w:type="fixed"/>
      </w:tblPr>
      <w:tblGrid>
        <w:gridCol w:w="2608"/>
        <w:gridCol w:w="1814"/>
        <w:gridCol w:w="5216"/>
      </w:tblGrid>
      <w:tr>
        <w:tc>
          <w:tcPr>
            <w:tcW w:type="dxa" w:w="2608"/>
            <w:shd w:val="clear" w:color="auto" w:fill="2E74B5"/>
          </w:tcPr>
          <w:p>
            <w:pPr>
              <w:spacing w:after="40" w:before="40"/>
            </w:pPr>
            <w:r>
              <w:rPr>
                <w:rFonts w:ascii="Calibri" w:hAnsi="Calibri" w:eastAsia="微软雅黑"/>
                <w:b/>
                <w:color w:val="FFFFFF"/>
                <w:sz w:val="21"/>
              </w:rPr>
              <w:t>调整项</w:t>
            </w:r>
          </w:p>
        </w:tc>
        <w:tc>
          <w:tcPr>
            <w:tcW w:type="dxa" w:w="1814"/>
            <w:shd w:val="clear" w:color="auto" w:fill="2E74B5"/>
          </w:tcPr>
          <w:p>
            <w:pPr>
              <w:spacing w:after="40" w:before="40"/>
            </w:pPr>
            <w:r>
              <w:rPr>
                <w:rFonts w:ascii="Calibri" w:hAnsi="Calibri" w:eastAsia="微软雅黑"/>
                <w:b/>
                <w:color w:val="FFFFFF"/>
                <w:sz w:val="21"/>
              </w:rPr>
              <w:t>现状</w:t>
            </w:r>
          </w:p>
        </w:tc>
        <w:tc>
          <w:tcPr>
            <w:tcW w:type="dxa" w:w="5216"/>
            <w:shd w:val="clear" w:color="auto" w:fill="2E74B5"/>
          </w:tcPr>
          <w:p>
            <w:pPr>
              <w:spacing w:after="40" w:before="40"/>
            </w:pPr>
            <w:r>
              <w:rPr>
                <w:rFonts w:ascii="Calibri" w:hAnsi="Calibri" w:eastAsia="微软雅黑"/>
                <w:b/>
                <w:color w:val="FFFFFF"/>
                <w:sz w:val="21"/>
              </w:rPr>
              <w:t>建议</w:t>
            </w:r>
          </w:p>
        </w:tc>
      </w:tr>
      <w:tr>
        <w:tc>
          <w:tcPr>
            <w:tcW w:type="dxa" w:w="2608"/>
          </w:tcPr>
          <w:p>
            <w:pPr>
              <w:spacing w:after="40" w:before="40"/>
            </w:pPr>
            <w:r>
              <w:rPr>
                <w:rFonts w:ascii="Calibri" w:hAnsi="Calibri" w:eastAsia="微软雅黑"/>
                <w:b w:val="0"/>
                <w:color w:val="333333"/>
                <w:sz w:val="21"/>
              </w:rPr>
              <w:t>密码存储</w:t>
            </w:r>
          </w:p>
        </w:tc>
        <w:tc>
          <w:tcPr>
            <w:tcW w:type="dxa" w:w="1814"/>
          </w:tcPr>
          <w:p>
            <w:pPr>
              <w:spacing w:after="40" w:before="40"/>
            </w:pPr>
            <w:r>
              <w:rPr>
                <w:rFonts w:ascii="Calibri" w:hAnsi="Calibri" w:eastAsia="微软雅黑"/>
                <w:b w:val="0"/>
                <w:color w:val="333333"/>
                <w:sz w:val="21"/>
              </w:rPr>
              <w:t>SHA256 固定盐</w:t>
            </w:r>
          </w:p>
        </w:tc>
        <w:tc>
          <w:tcPr>
            <w:tcW w:type="dxa" w:w="5216"/>
          </w:tcPr>
          <w:p>
            <w:pPr>
              <w:spacing w:after="40" w:before="40"/>
            </w:pPr>
            <w:r>
              <w:rPr>
                <w:rFonts w:ascii="Calibri" w:hAnsi="Calibri" w:eastAsia="微软雅黑"/>
                <w:b w:val="0"/>
                <w:color w:val="333333"/>
                <w:sz w:val="21"/>
              </w:rPr>
              <w:t>改用 PBKDF2 或 scrypt（如 werkzeug 安全模块），历史密码登录时自动迁移</w:t>
            </w:r>
          </w:p>
        </w:tc>
      </w:tr>
      <w:tr>
        <w:tc>
          <w:tcPr>
            <w:tcW w:type="dxa" w:w="2608"/>
          </w:tcPr>
          <w:p>
            <w:pPr>
              <w:spacing w:after="40" w:before="40"/>
            </w:pPr>
            <w:r>
              <w:rPr>
                <w:rFonts w:ascii="Calibri" w:hAnsi="Calibri" w:eastAsia="微软雅黑"/>
                <w:b w:val="0"/>
                <w:color w:val="333333"/>
                <w:sz w:val="21"/>
              </w:rPr>
              <w:t>登录防护</w:t>
            </w:r>
          </w:p>
        </w:tc>
        <w:tc>
          <w:tcPr>
            <w:tcW w:type="dxa" w:w="1814"/>
          </w:tcPr>
          <w:p>
            <w:pPr>
              <w:spacing w:after="40" w:before="40"/>
            </w:pPr>
            <w:r>
              <w:rPr>
                <w:rFonts w:ascii="Calibri" w:hAnsi="Calibri" w:eastAsia="微软雅黑"/>
                <w:b w:val="0"/>
                <w:color w:val="333333"/>
                <w:sz w:val="21"/>
              </w:rPr>
              <w:t>无失败限制</w:t>
            </w:r>
          </w:p>
        </w:tc>
        <w:tc>
          <w:tcPr>
            <w:tcW w:type="dxa" w:w="5216"/>
          </w:tcPr>
          <w:p>
            <w:pPr>
              <w:spacing w:after="40" w:before="40"/>
            </w:pPr>
            <w:r>
              <w:rPr>
                <w:rFonts w:ascii="Calibri" w:hAnsi="Calibri" w:eastAsia="微软雅黑"/>
                <w:b w:val="0"/>
                <w:color w:val="333333"/>
                <w:sz w:val="21"/>
              </w:rPr>
              <w:t>连续失败锁定或验证码，部署 HTTPS</w:t>
            </w:r>
          </w:p>
        </w:tc>
      </w:tr>
      <w:tr>
        <w:tc>
          <w:tcPr>
            <w:tcW w:type="dxa" w:w="2608"/>
          </w:tcPr>
          <w:p>
            <w:pPr>
              <w:spacing w:after="40" w:before="40"/>
            </w:pPr>
            <w:r>
              <w:rPr>
                <w:rFonts w:ascii="Calibri" w:hAnsi="Calibri" w:eastAsia="微软雅黑"/>
                <w:b w:val="0"/>
                <w:color w:val="333333"/>
                <w:sz w:val="21"/>
              </w:rPr>
              <w:t>会话密钥</w:t>
            </w:r>
          </w:p>
        </w:tc>
        <w:tc>
          <w:tcPr>
            <w:tcW w:type="dxa" w:w="1814"/>
          </w:tcPr>
          <w:p>
            <w:pPr>
              <w:spacing w:after="40" w:before="40"/>
            </w:pPr>
            <w:r>
              <w:rPr>
                <w:rFonts w:ascii="Calibri" w:hAnsi="Calibri" w:eastAsia="微软雅黑"/>
                <w:b w:val="0"/>
                <w:color w:val="333333"/>
                <w:sz w:val="21"/>
              </w:rPr>
              <w:t>内置固定值</w:t>
            </w:r>
          </w:p>
        </w:tc>
        <w:tc>
          <w:tcPr>
            <w:tcW w:type="dxa" w:w="5216"/>
          </w:tcPr>
          <w:p>
            <w:pPr>
              <w:spacing w:after="40" w:before="40"/>
            </w:pPr>
            <w:r>
              <w:rPr>
                <w:rFonts w:ascii="Calibri" w:hAnsi="Calibri" w:eastAsia="微软雅黑"/>
                <w:b w:val="0"/>
                <w:color w:val="333333"/>
                <w:sz w:val="21"/>
              </w:rPr>
              <w:t>改为环境变量配置，避免源码泄露</w:t>
            </w:r>
          </w:p>
        </w:tc>
      </w:tr>
      <w:tr>
        <w:tc>
          <w:tcPr>
            <w:tcW w:type="dxa" w:w="2608"/>
          </w:tcPr>
          <w:p>
            <w:pPr>
              <w:spacing w:after="40" w:before="40"/>
            </w:pPr>
            <w:r>
              <w:rPr>
                <w:rFonts w:ascii="Calibri" w:hAnsi="Calibri" w:eastAsia="微软雅黑"/>
                <w:b w:val="0"/>
                <w:color w:val="333333"/>
                <w:sz w:val="21"/>
              </w:rPr>
              <w:t>日志防篡改</w:t>
            </w:r>
          </w:p>
        </w:tc>
        <w:tc>
          <w:tcPr>
            <w:tcW w:type="dxa" w:w="1814"/>
          </w:tcPr>
          <w:p>
            <w:pPr>
              <w:spacing w:after="40" w:before="40"/>
            </w:pPr>
            <w:r>
              <w:rPr>
                <w:rFonts w:ascii="Calibri" w:hAnsi="Calibri" w:eastAsia="微软雅黑"/>
                <w:b w:val="0"/>
                <w:color w:val="333333"/>
                <w:sz w:val="21"/>
              </w:rPr>
              <w:t>可追加可修改</w:t>
            </w:r>
          </w:p>
        </w:tc>
        <w:tc>
          <w:tcPr>
            <w:tcW w:type="dxa" w:w="5216"/>
          </w:tcPr>
          <w:p>
            <w:pPr>
              <w:spacing w:after="40" w:before="40"/>
            </w:pPr>
            <w:r>
              <w:rPr>
                <w:rFonts w:ascii="Calibri" w:hAnsi="Calibri" w:eastAsia="微软雅黑"/>
                <w:b w:val="0"/>
                <w:color w:val="333333"/>
                <w:sz w:val="21"/>
              </w:rPr>
              <w:t>操作日志只追加、禁止修改，导出动作自身留痕</w:t>
            </w:r>
          </w:p>
        </w:tc>
      </w:tr>
      <w:tr>
        <w:tc>
          <w:tcPr>
            <w:tcW w:type="dxa" w:w="2608"/>
          </w:tcPr>
          <w:p>
            <w:pPr>
              <w:spacing w:after="40" w:before="40"/>
            </w:pPr>
            <w:r>
              <w:rPr>
                <w:rFonts w:ascii="Calibri" w:hAnsi="Calibri" w:eastAsia="微软雅黑"/>
                <w:b w:val="0"/>
                <w:color w:val="333333"/>
                <w:sz w:val="21"/>
              </w:rPr>
              <w:t>备份恢复</w:t>
            </w:r>
          </w:p>
        </w:tc>
        <w:tc>
          <w:tcPr>
            <w:tcW w:type="dxa" w:w="1814"/>
          </w:tcPr>
          <w:p>
            <w:pPr>
              <w:spacing w:after="40" w:before="40"/>
            </w:pPr>
            <w:r>
              <w:rPr>
                <w:rFonts w:ascii="Calibri" w:hAnsi="Calibri" w:eastAsia="微软雅黑"/>
                <w:b w:val="0"/>
                <w:color w:val="333333"/>
                <w:sz w:val="21"/>
              </w:rPr>
              <w:t>备份至 backups 目录</w:t>
            </w:r>
          </w:p>
        </w:tc>
        <w:tc>
          <w:tcPr>
            <w:tcW w:type="dxa" w:w="5216"/>
          </w:tcPr>
          <w:p>
            <w:pPr>
              <w:spacing w:after="40" w:before="40"/>
            </w:pPr>
            <w:r>
              <w:rPr>
                <w:rFonts w:ascii="Calibri" w:hAnsi="Calibri" w:eastAsia="微软雅黑"/>
                <w:b w:val="0"/>
                <w:color w:val="333333"/>
                <w:sz w:val="21"/>
              </w:rPr>
              <w:t>补充《备份恢复操作规程》，配置定时备份并定期恢复演练</w:t>
            </w:r>
          </w:p>
        </w:tc>
      </w:tr>
    </w:tbl>
    <w:p>
      <w:pPr>
        <w:spacing w:after="40"/>
      </w:pPr>
    </w:p>
    <w:p>
      <w:pPr>
        <w:pStyle w:val="Heading1"/>
      </w:pPr>
      <w:r>
        <w:rPr>
          <w:rFonts w:ascii="Calibri" w:hAnsi="Calibri" w:eastAsia="微软雅黑"/>
          <w:b/>
          <w:color w:val="2E74B5"/>
          <w:sz w:val="32"/>
        </w:rPr>
        <w:t>六、可简化或删除项</w:t>
      </w:r>
    </w:p>
    <w:p>
      <w:pPr>
        <w:pStyle w:val="ListBullet"/>
      </w:pPr>
      <w:r>
        <w:rPr>
          <w:rFonts w:ascii="Calibri" w:hAnsi="Calibri" w:eastAsia="微软雅黑"/>
          <w:b w:val="0"/>
          <w:color w:val="333333"/>
          <w:sz w:val="22"/>
        </w:rPr>
        <w:t>“查询用户”角色保留作只读账号，无需删除。</w:t>
      </w:r>
    </w:p>
    <w:p>
      <w:pPr>
        <w:pStyle w:val="ListBullet"/>
      </w:pPr>
      <w:r>
        <w:rPr>
          <w:rFonts w:ascii="Calibri" w:hAnsi="Calibri" w:eastAsia="微软雅黑"/>
          <w:b w:val="0"/>
          <w:color w:val="333333"/>
          <w:sz w:val="22"/>
        </w:rPr>
        <w:t>“决策依据、招标控制价决策的依据”等低使用率字段建议保留文本输入，不做下拉约束，避免破坏存量数据。</w:t>
      </w:r>
    </w:p>
    <w:p>
      <w:pPr>
        <w:pStyle w:val="ListBullet"/>
      </w:pPr>
      <w:r>
        <w:rPr>
          <w:rFonts w:ascii="Calibri" w:hAnsi="Calibri" w:eastAsia="微软雅黑"/>
          <w:b w:val="0"/>
          <w:color w:val="333333"/>
          <w:sz w:val="22"/>
        </w:rPr>
        <w:t>日志“查询不记录”符合大数据量实际，保持现状。</w:t>
      </w:r>
    </w:p>
    <w:p>
      <w:pPr>
        <w:pStyle w:val="ListBullet"/>
      </w:pPr>
      <w:r>
        <w:rPr>
          <w:rFonts w:ascii="Calibri" w:hAnsi="Calibri" w:eastAsia="微软雅黑"/>
          <w:b w:val="0"/>
          <w:color w:val="333333"/>
          <w:sz w:val="22"/>
        </w:rPr>
        <w:t>合同浏览页已提供“打印为PDF”（新标签页打印视图 + 打印人/打印时间水印），可满足审计留档需要；打印操作本身以浏览器打印日志为准，系统暂不强制记录，后续如需可增加打印留痕。</w:t>
      </w:r>
    </w:p>
    <w:p>
      <w:pPr>
        <w:pStyle w:val="Heading1"/>
      </w:pPr>
      <w:r>
        <w:rPr>
          <w:rFonts w:ascii="Calibri" w:hAnsi="Calibri" w:eastAsia="微软雅黑"/>
          <w:b/>
          <w:color w:val="2E74B5"/>
          <w:sz w:val="32"/>
        </w:rPr>
        <w:t>七、实施优先级与路线图</w:t>
      </w:r>
    </w:p>
    <w:tbl>
      <w:tblPr>
        <w:tblStyle w:val="TableGrid"/>
        <w:tblW w:type="dxa" w:w="9638"/>
        <w:jc w:val="left"/>
        <w:tblLook w:firstColumn="1" w:firstRow="1" w:lastColumn="0" w:lastRow="0" w:noHBand="0" w:noVBand="1" w:val="04A0"/>
        <w:tblInd w:w="120" w:type="dxa"/>
        <w:tblLayout w:type="fixed"/>
      </w:tblPr>
      <w:tblGrid>
        <w:gridCol w:w="2608"/>
        <w:gridCol w:w="1814"/>
        <w:gridCol w:w="5216"/>
      </w:tblGrid>
      <w:tr>
        <w:tc>
          <w:tcPr>
            <w:tcW w:type="dxa" w:w="2608"/>
            <w:shd w:val="clear" w:color="auto" w:fill="2E74B5"/>
          </w:tcPr>
          <w:p>
            <w:pPr>
              <w:spacing w:after="40" w:before="40"/>
            </w:pPr>
            <w:r>
              <w:rPr>
                <w:rFonts w:ascii="Calibri" w:hAnsi="Calibri" w:eastAsia="微软雅黑"/>
                <w:b/>
                <w:color w:val="FFFFFF"/>
                <w:sz w:val="21"/>
              </w:rPr>
              <w:t>优先级</w:t>
            </w:r>
          </w:p>
        </w:tc>
        <w:tc>
          <w:tcPr>
            <w:tcW w:type="dxa" w:w="1814"/>
            <w:shd w:val="clear" w:color="auto" w:fill="2E74B5"/>
          </w:tcPr>
          <w:p>
            <w:pPr>
              <w:spacing w:after="40" w:before="40"/>
            </w:pPr>
            <w:r>
              <w:rPr>
                <w:rFonts w:ascii="Calibri" w:hAnsi="Calibri" w:eastAsia="微软雅黑"/>
                <w:b/>
                <w:color w:val="FFFFFF"/>
                <w:sz w:val="21"/>
              </w:rPr>
              <w:t>实施内容</w:t>
            </w:r>
          </w:p>
        </w:tc>
        <w:tc>
          <w:tcPr>
            <w:tcW w:type="dxa" w:w="5216"/>
            <w:shd w:val="clear" w:color="auto" w:fill="2E74B5"/>
          </w:tcPr>
          <w:p>
            <w:pPr>
              <w:spacing w:after="40" w:before="40"/>
            </w:pPr>
            <w:r>
              <w:rPr>
                <w:rFonts w:ascii="Calibri" w:hAnsi="Calibri" w:eastAsia="微软雅黑"/>
                <w:b/>
                <w:color w:val="FFFFFF"/>
                <w:sz w:val="21"/>
              </w:rPr>
              <w:t>建议完成时间</w:t>
            </w:r>
          </w:p>
        </w:tc>
      </w:tr>
      <w:tr>
        <w:tc>
          <w:tcPr>
            <w:tcW w:type="dxa" w:w="2608"/>
          </w:tcPr>
          <w:p>
            <w:pPr>
              <w:spacing w:after="40" w:before="40"/>
            </w:pPr>
            <w:r>
              <w:rPr>
                <w:rFonts w:ascii="Calibri" w:hAnsi="Calibri" w:eastAsia="微软雅黑"/>
                <w:b w:val="0"/>
                <w:color w:val="333333"/>
                <w:sz w:val="21"/>
              </w:rPr>
              <w:t>P0 快赢</w:t>
            </w:r>
          </w:p>
        </w:tc>
        <w:tc>
          <w:tcPr>
            <w:tcW w:type="dxa" w:w="1814"/>
          </w:tcPr>
          <w:p>
            <w:pPr>
              <w:spacing w:after="40" w:before="40"/>
            </w:pPr>
            <w:r>
              <w:rPr>
                <w:rFonts w:ascii="Calibri" w:hAnsi="Calibri" w:eastAsia="微软雅黑"/>
                <w:b w:val="0"/>
                <w:color w:val="333333"/>
                <w:sz w:val="21"/>
              </w:rPr>
              <w:t>金额与日期校验、合同状态字段、删除原因留痕</w:t>
            </w:r>
          </w:p>
        </w:tc>
        <w:tc>
          <w:tcPr>
            <w:tcW w:type="dxa" w:w="5216"/>
          </w:tcPr>
          <w:p>
            <w:pPr>
              <w:spacing w:after="40" w:before="40"/>
            </w:pPr>
            <w:r>
              <w:rPr>
                <w:rFonts w:ascii="Calibri" w:hAnsi="Calibri" w:eastAsia="微软雅黑"/>
                <w:b w:val="0"/>
                <w:color w:val="333333"/>
                <w:sz w:val="21"/>
              </w:rPr>
              <w:t>1 周内</w:t>
            </w:r>
          </w:p>
        </w:tc>
      </w:tr>
      <w:tr>
        <w:tc>
          <w:tcPr>
            <w:tcW w:type="dxa" w:w="2608"/>
          </w:tcPr>
          <w:p>
            <w:pPr>
              <w:spacing w:after="40" w:before="40"/>
            </w:pPr>
            <w:r>
              <w:rPr>
                <w:rFonts w:ascii="Calibri" w:hAnsi="Calibri" w:eastAsia="微软雅黑"/>
                <w:b w:val="0"/>
                <w:color w:val="333333"/>
                <w:sz w:val="21"/>
              </w:rPr>
              <w:t>P1 风控</w:t>
            </w:r>
          </w:p>
        </w:tc>
        <w:tc>
          <w:tcPr>
            <w:tcW w:type="dxa" w:w="1814"/>
          </w:tcPr>
          <w:p>
            <w:pPr>
              <w:spacing w:after="40" w:before="40"/>
            </w:pPr>
            <w:r>
              <w:rPr>
                <w:rFonts w:ascii="Calibri" w:hAnsi="Calibri" w:eastAsia="微软雅黑"/>
                <w:b w:val="0"/>
                <w:color w:val="333333"/>
                <w:sz w:val="21"/>
              </w:rPr>
              <w:t>密码加固、提醒主动触达与推迟、附件规范</w:t>
            </w:r>
          </w:p>
        </w:tc>
        <w:tc>
          <w:tcPr>
            <w:tcW w:type="dxa" w:w="5216"/>
          </w:tcPr>
          <w:p>
            <w:pPr>
              <w:spacing w:after="40" w:before="40"/>
            </w:pPr>
            <w:r>
              <w:rPr>
                <w:rFonts w:ascii="Calibri" w:hAnsi="Calibri" w:eastAsia="微软雅黑"/>
                <w:b w:val="0"/>
                <w:color w:val="333333"/>
                <w:sz w:val="21"/>
              </w:rPr>
              <w:t>2 周内</w:t>
            </w:r>
          </w:p>
        </w:tc>
      </w:tr>
      <w:tr>
        <w:tc>
          <w:tcPr>
            <w:tcW w:type="dxa" w:w="2608"/>
          </w:tcPr>
          <w:p>
            <w:pPr>
              <w:spacing w:after="40" w:before="40"/>
            </w:pPr>
            <w:r>
              <w:rPr>
                <w:rFonts w:ascii="Calibri" w:hAnsi="Calibri" w:eastAsia="微软雅黑"/>
                <w:b w:val="0"/>
                <w:color w:val="333333"/>
                <w:sz w:val="21"/>
              </w:rPr>
              <w:t>P2 提效</w:t>
            </w:r>
          </w:p>
        </w:tc>
        <w:tc>
          <w:tcPr>
            <w:tcW w:type="dxa" w:w="1814"/>
          </w:tcPr>
          <w:p>
            <w:pPr>
              <w:spacing w:after="40" w:before="40"/>
            </w:pPr>
            <w:r>
              <w:rPr>
                <w:rFonts w:ascii="Calibri" w:hAnsi="Calibri" w:eastAsia="微软雅黑"/>
                <w:b w:val="0"/>
                <w:color w:val="333333"/>
                <w:sz w:val="21"/>
              </w:rPr>
              <w:t>统计增强、编号规则化、批量操作、备份恢复规程</w:t>
            </w:r>
          </w:p>
        </w:tc>
        <w:tc>
          <w:tcPr>
            <w:tcW w:type="dxa" w:w="5216"/>
          </w:tcPr>
          <w:p>
            <w:pPr>
              <w:spacing w:after="40" w:before="40"/>
            </w:pPr>
            <w:r>
              <w:rPr>
                <w:rFonts w:ascii="Calibri" w:hAnsi="Calibri" w:eastAsia="微软雅黑"/>
                <w:b w:val="0"/>
                <w:color w:val="333333"/>
                <w:sz w:val="21"/>
              </w:rPr>
              <w:t>1 个月内</w:t>
            </w:r>
          </w:p>
        </w:tc>
      </w:tr>
    </w:tbl>
    <w:p>
      <w:pPr>
        <w:spacing w:after="40"/>
      </w:pPr>
    </w:p>
    <w:p>
      <w:pPr>
        <w:pStyle w:val="Heading2"/>
      </w:pPr>
      <w:r>
        <w:rPr>
          <w:rFonts w:ascii="Calibri" w:hAnsi="Calibri" w:eastAsia="微软雅黑"/>
          <w:b/>
          <w:color w:val="2E74B5"/>
          <w:sz w:val="26"/>
        </w:rPr>
        <w:t>7.1 实施说明与状态跟踪</w:t>
      </w:r>
    </w:p>
    <w:p>
      <w:pPr>
        <w:spacing w:before="80" w:after="160"/>
        <w:ind w:left="170" w:right="170"/>
        <w:shd w:val="clear" w:color="auto" w:fill="EAF3FB"/>
        <w:pBdr>
          <w:left w:val="single" w:sz="14" w:space="4" w:color="1E90FF"/>
        </w:pBdr>
      </w:pPr>
      <w:r>
        <w:rPr>
          <w:rFonts w:ascii="Calibri" w:hAnsi="Calibri" w:eastAsia="微软雅黑"/>
          <w:b w:val="0"/>
          <w:color w:val="1F4D78"/>
          <w:sz w:val="21"/>
        </w:rPr>
        <w:t>评审建议的落地实施已形成《系统功能提升实施方案》（</w:t>
      </w:r>
      <w:r>
        <w:rPr>
          <w:rFonts w:ascii="Consolas" w:hAnsi="Consolas" w:eastAsia="微软雅黑"/>
          <w:b w:val="0"/>
          <w:color w:val="1F4D78"/>
          <w:sz w:val="20"/>
        </w:rPr>
        <w:t>docs/系统功能提升实施方案.md</w:t>
      </w:r>
      <w:r>
        <w:rPr>
          <w:rFonts w:ascii="Calibri" w:hAnsi="Calibri" w:eastAsia="微软雅黑"/>
          <w:b w:val="0"/>
          <w:color w:val="1F4D78"/>
          <w:sz w:val="21"/>
        </w:rPr>
        <w:t>），逐项给出数据库变更、后端接口、前端交互、参考实现、验收标准与回退方案，供后续版本按 P0→P1→P2 顺序执行。本节为实施状态摘要，完整跟踪表见实施方案 1.3 节。</w:t>
      </w:r>
    </w:p>
    <w:tbl>
      <w:tblPr>
        <w:tblStyle w:val="TableGrid"/>
        <w:tblW w:type="dxa" w:w="9638"/>
        <w:jc w:val="left"/>
        <w:tblLook w:firstColumn="1" w:firstRow="1" w:lastColumn="0" w:lastRow="0" w:noHBand="0" w:noVBand="1" w:val="04A0"/>
        <w:tblInd w:w="120" w:type="dxa"/>
        <w:tblLayout w:type="fixed"/>
      </w:tblPr>
      <w:tblGrid>
        <w:gridCol w:w="2608"/>
        <w:gridCol w:w="1814"/>
        <w:gridCol w:w="5216"/>
      </w:tblGrid>
      <w:tr>
        <w:tc>
          <w:tcPr>
            <w:tcW w:type="dxa" w:w="2608"/>
            <w:shd w:val="clear" w:color="auto" w:fill="2E74B5"/>
          </w:tcPr>
          <w:p>
            <w:pPr>
              <w:spacing w:after="40" w:before="40"/>
            </w:pPr>
            <w:r>
              <w:rPr>
                <w:rFonts w:ascii="Calibri" w:hAnsi="Calibri" w:eastAsia="微软雅黑"/>
                <w:b/>
                <w:color w:val="FFFFFF"/>
                <w:sz w:val="21"/>
              </w:rPr>
              <w:t>优先级</w:t>
            </w:r>
          </w:p>
        </w:tc>
        <w:tc>
          <w:tcPr>
            <w:tcW w:type="dxa" w:w="1814"/>
            <w:shd w:val="clear" w:color="auto" w:fill="2E74B5"/>
          </w:tcPr>
          <w:p>
            <w:pPr>
              <w:spacing w:after="40" w:before="40"/>
            </w:pPr>
            <w:r>
              <w:rPr>
                <w:rFonts w:ascii="Calibri" w:hAnsi="Calibri" w:eastAsia="微软雅黑"/>
                <w:b/>
                <w:color w:val="FFFFFF"/>
                <w:sz w:val="21"/>
              </w:rPr>
              <w:t>改进项</w:t>
            </w:r>
          </w:p>
        </w:tc>
        <w:tc>
          <w:tcPr>
            <w:tcW w:type="dxa" w:w="5216"/>
            <w:shd w:val="clear" w:color="auto" w:fill="2E74B5"/>
          </w:tcPr>
          <w:p>
            <w:pPr>
              <w:spacing w:after="40" w:before="40"/>
            </w:pPr>
            <w:r>
              <w:rPr>
                <w:rFonts w:ascii="Calibri" w:hAnsi="Calibri" w:eastAsia="微软雅黑"/>
                <w:b/>
                <w:color w:val="FFFFFF"/>
                <w:sz w:val="21"/>
              </w:rPr>
              <w:t>实施状态</w:t>
            </w:r>
          </w:p>
        </w:tc>
      </w:tr>
      <w:tr>
        <w:tc>
          <w:tcPr>
            <w:tcW w:type="dxa" w:w="2608"/>
          </w:tcPr>
          <w:p>
            <w:pPr>
              <w:spacing w:after="40" w:before="40"/>
            </w:pPr>
            <w:r>
              <w:rPr>
                <w:rFonts w:ascii="Calibri" w:hAnsi="Calibri" w:eastAsia="微软雅黑"/>
                <w:b w:val="0"/>
                <w:color w:val="333333"/>
                <w:sz w:val="21"/>
              </w:rPr>
              <w:t>P0 快赢</w:t>
            </w:r>
          </w:p>
        </w:tc>
        <w:tc>
          <w:tcPr>
            <w:tcW w:type="dxa" w:w="1814"/>
          </w:tcPr>
          <w:p>
            <w:pPr>
              <w:spacing w:after="40" w:before="40"/>
            </w:pPr>
            <w:r>
              <w:rPr>
                <w:rFonts w:ascii="Calibri" w:hAnsi="Calibri" w:eastAsia="微软雅黑"/>
                <w:b w:val="0"/>
                <w:color w:val="333333"/>
                <w:sz w:val="21"/>
              </w:rPr>
              <w:t>合同状态字段、财务勾稽校验、敏感操作复核留痕</w:t>
            </w:r>
          </w:p>
        </w:tc>
        <w:tc>
          <w:tcPr>
            <w:tcW w:type="dxa" w:w="5216"/>
          </w:tcPr>
          <w:p>
            <w:pPr>
              <w:spacing w:after="40" w:before="40"/>
            </w:pPr>
            <w:r>
              <w:rPr>
                <w:rFonts w:ascii="Calibri" w:hAnsi="Calibri" w:eastAsia="微软雅黑"/>
                <w:b w:val="0"/>
                <w:color w:val="333333"/>
                <w:sz w:val="21"/>
              </w:rPr>
              <w:t>待实施（目标 V1.1）</w:t>
            </w:r>
          </w:p>
        </w:tc>
      </w:tr>
      <w:tr>
        <w:tc>
          <w:tcPr>
            <w:tcW w:type="dxa" w:w="2608"/>
          </w:tcPr>
          <w:p>
            <w:pPr>
              <w:spacing w:after="40" w:before="40"/>
            </w:pPr>
            <w:r>
              <w:rPr>
                <w:rFonts w:ascii="Calibri" w:hAnsi="Calibri" w:eastAsia="微软雅黑"/>
                <w:b w:val="0"/>
                <w:color w:val="333333"/>
                <w:sz w:val="21"/>
              </w:rPr>
              <w:t>P1 风控</w:t>
            </w:r>
          </w:p>
        </w:tc>
        <w:tc>
          <w:tcPr>
            <w:tcW w:type="dxa" w:w="1814"/>
          </w:tcPr>
          <w:p>
            <w:pPr>
              <w:spacing w:after="40" w:before="40"/>
            </w:pPr>
            <w:r>
              <w:rPr>
                <w:rFonts w:ascii="Calibri" w:hAnsi="Calibri" w:eastAsia="微软雅黑"/>
                <w:b w:val="0"/>
                <w:color w:val="333333"/>
                <w:sz w:val="21"/>
              </w:rPr>
              <w:t>密码加固、登录防护、会话密钥环境变量、提醒主动触达、附件规范</w:t>
            </w:r>
          </w:p>
        </w:tc>
        <w:tc>
          <w:tcPr>
            <w:tcW w:type="dxa" w:w="5216"/>
          </w:tcPr>
          <w:p>
            <w:pPr>
              <w:spacing w:after="40" w:before="40"/>
            </w:pPr>
            <w:r>
              <w:rPr>
                <w:rFonts w:ascii="Calibri" w:hAnsi="Calibri" w:eastAsia="微软雅黑"/>
                <w:b w:val="0"/>
                <w:color w:val="333333"/>
                <w:sz w:val="21"/>
              </w:rPr>
              <w:t>部分实施：提醒主动触达（短信）已于 2026-10-10 上线；其余待实施（目标 V1.2）</w:t>
            </w:r>
          </w:p>
        </w:tc>
      </w:tr>
      <w:tr>
        <w:tc>
          <w:tcPr>
            <w:tcW w:type="dxa" w:w="2608"/>
          </w:tcPr>
          <w:p>
            <w:pPr>
              <w:spacing w:after="40" w:before="40"/>
            </w:pPr>
            <w:r>
              <w:rPr>
                <w:rFonts w:ascii="Calibri" w:hAnsi="Calibri" w:eastAsia="微软雅黑"/>
                <w:b w:val="0"/>
                <w:color w:val="333333"/>
                <w:sz w:val="21"/>
              </w:rPr>
              <w:t>P2 提效</w:t>
            </w:r>
          </w:p>
        </w:tc>
        <w:tc>
          <w:tcPr>
            <w:tcW w:type="dxa" w:w="1814"/>
          </w:tcPr>
          <w:p>
            <w:pPr>
              <w:spacing w:after="40" w:before="40"/>
            </w:pPr>
            <w:r>
              <w:rPr>
                <w:rFonts w:ascii="Calibri" w:hAnsi="Calibri" w:eastAsia="微软雅黑"/>
                <w:b w:val="0"/>
                <w:color w:val="333333"/>
                <w:sz w:val="21"/>
              </w:rPr>
              <w:t>统计增强、编号规则化、批量操作、备份恢复规程、导入增强</w:t>
            </w:r>
          </w:p>
        </w:tc>
        <w:tc>
          <w:tcPr>
            <w:tcW w:type="dxa" w:w="5216"/>
          </w:tcPr>
          <w:p>
            <w:pPr>
              <w:spacing w:after="40" w:before="40"/>
            </w:pPr>
            <w:r>
              <w:rPr>
                <w:rFonts w:ascii="Calibri" w:hAnsi="Calibri" w:eastAsia="微软雅黑"/>
                <w:b w:val="0"/>
                <w:color w:val="333333"/>
                <w:sz w:val="21"/>
              </w:rPr>
              <w:t>待实施（目标 V1.3）</w:t>
            </w:r>
          </w:p>
        </w:tc>
      </w:tr>
    </w:tbl>
    <w:p>
      <w:pPr>
        <w:spacing w:after="40"/>
      </w:pPr>
    </w:p>
    <w:p>
      <w:pPr>
        <w:pStyle w:val="Heading1"/>
      </w:pPr>
      <w:r>
        <w:rPr>
          <w:rFonts w:ascii="Calibri" w:hAnsi="Calibri" w:eastAsia="微软雅黑"/>
          <w:b/>
          <w:color w:val="2E74B5"/>
          <w:sz w:val="32"/>
        </w:rPr>
        <w:t>八、结论</w:t>
      </w:r>
    </w:p>
    <w:p>
      <w:pPr>
        <w:spacing w:before="80" w:after="160"/>
        <w:ind w:left="170" w:right="170"/>
        <w:shd w:val="clear" w:color="auto" w:fill="EAF3FB"/>
        <w:pBdr>
          <w:left w:val="single" w:sz="14" w:space="4" w:color="1E90FF"/>
        </w:pBdr>
      </w:pPr>
      <w:r>
        <w:rPr>
          <w:rFonts w:ascii="Calibri" w:hAnsi="Calibri" w:eastAsia="微软雅黑"/>
          <w:b w:val="0"/>
          <w:color w:val="1F4D78"/>
          <w:sz w:val="21"/>
        </w:rPr>
        <w:t>系统已具备交付使用条件，可先行上线运行；建议按 P0、P1、P2 顺序推进完善，重点补齐合同状态、财务校验与安全加固，确保台账数据准确、流程合规、审计可溯。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134" w:right="1134" w:bottom="1134" w:left="1134" w:header="340" w:footer="34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 w:eastAsia="微软雅黑"/>
        <w:color w:val="666666"/>
        <w:sz w:val="18"/>
      </w:rPr>
      <w:t xml:space="preserve">第 </w:t>
    </w:r>
    <w:r>
      <w:rPr>
        <w:rFonts w:ascii="Calibri" w:hAnsi="Calibri" w:eastAsia="微软雅黑"/>
        <w:color w:val="666666"/>
        <w:sz w:val="18"/>
      </w:rPr>
      <w:fldChar w:fldCharType="begin"/>
      <w:instrText xml:space="preserve"> PAGE </w:instrText>
      <w:fldChar w:fldCharType="end"/>
    </w:r>
    <w:r>
      <w:rPr>
        <w:rFonts w:ascii="Calibri" w:hAnsi="Calibri" w:eastAsia="微软雅黑"/>
        <w:color w:val="666666"/>
        <w:sz w:val="18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>
      <w:rPr>
        <w:rFonts w:ascii="Calibri" w:hAnsi="Calibri" w:eastAsia="微软雅黑"/>
        <w:color w:val="666666"/>
        <w:sz w:val="17"/>
      </w:rPr>
      <w:t>“潭合同”台账管理系统 · 系统功能评审与改进建议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Calibri" w:hAnsi="Calibri" w:eastAsia="微软雅黑"/>
      <w:color w:val="333333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Calibri" w:hAnsi="Calibri" w:eastAsia="微软雅黑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libri" w:hAnsi="Calibri" w:eastAsia="微软雅黑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80"/>
      <w:outlineLvl w:val="2"/>
    </w:pPr>
    <w:rPr>
      <w:rFonts w:asciiTheme="majorHAnsi" w:eastAsiaTheme="majorEastAsia" w:hAnsiTheme="majorHAnsi" w:cstheme="majorBidi" w:ascii="Calibri" w:hAnsi="Calibri" w:eastAsia="微软雅黑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60" w:line="300" w:lineRule="auto"/>
      <w:contextualSpacing/>
    </w:pPr>
    <w:rPr>
      <w:rFonts w:ascii="Calibri" w:hAnsi="Calibri" w:eastAsia="微软雅黑"/>
      <w:color w:val="333333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spacing w:after="60" w:line="300" w:lineRule="auto"/>
      <w:contextualSpacing/>
    </w:pPr>
    <w:rPr>
      <w:rFonts w:ascii="Calibri" w:hAnsi="Calibri" w:eastAsia="微软雅黑"/>
      <w:color w:val="333333"/>
      <w:sz w:val="22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60" w:line="300" w:lineRule="auto"/>
      <w:contextualSpacing/>
    </w:pPr>
    <w:rPr>
      <w:rFonts w:ascii="Calibri" w:hAnsi="Calibri" w:eastAsia="微软雅黑"/>
      <w:color w:val="333333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“潭合同”台账管理系统 用户操作手册</dc:title>
  <dc:subject/>
  <dc:creator>湘潭市机关事务管理局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