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44444"/>
          <w:sz w:val="22"/>
        </w:rPr>
        <w:t>D2MG PILOTAGE</w:t>
      </w:r>
    </w:p>
    <w:p>
      <w:pPr>
        <w:spacing w:before="120" w:after="40"/>
        <w:jc w:val="center"/>
      </w:pPr>
      <w:r>
        <w:rPr>
          <w:b/>
          <w:color w:val="1B2F3F"/>
          <w:sz w:val="38"/>
        </w:rPr>
        <w:t>Analyse — Pertinence des boutons d'extraction PDF / Word / Excel</w:t>
      </w:r>
    </w:p>
    <w:p>
      <w:pPr>
        <w:spacing w:after="40"/>
        <w:jc w:val="center"/>
      </w:pPr>
      <w:r>
        <w:rPr>
          <w:color w:val="2C4A63"/>
          <w:sz w:val="25"/>
        </w:rPr>
        <w:t>Écran par écran, sur les quatre chambres de la plateforme</w:t>
      </w:r>
    </w:p>
    <w:p>
      <w:pPr>
        <w:spacing w:after="400"/>
        <w:jc w:val="center"/>
      </w:pPr>
      <w:r>
        <w:rPr>
          <w:color w:val="444444"/>
          <w:sz w:val="20"/>
        </w:rPr>
        <w:t>Note de travail — Septembre 2026</w:t>
      </w:r>
    </w:p>
    <w:p>
      <w:pPr>
        <w:keepNext/>
        <w:spacing w:before="360" w:after="120"/>
        <w:pBdr>
          <w:bottom w:val="single" w:sz="6" w:color="2C4A63"/>
        </w:pBdr>
      </w:pPr>
      <w:r>
        <w:rPr>
          <w:b/>
          <w:color w:val="1B2F3F"/>
          <w:sz w:val="30"/>
        </w:rPr>
        <w:t>1. Méthode</w:t>
      </w:r>
    </w:p>
    <w:p>
      <w:pPr>
        <w:spacing w:after="160"/>
      </w:pPr>
      <w:r>
        <w:rPr>
          <w:i w:val="0"/>
        </w:rPr>
        <w:t>Un bouton d'extraction n'a de valeur que si l'acteur fait ensuite quelque chose du fichier obtenu en dehors de l'application. Trois usages différents appellent trois formats différents, et un écran peut n'en appeler aucun :</w:t>
      </w:r>
    </w:p>
    <w:p>
      <w:pPr>
        <w:pStyle w:val="ListBullet"/>
        <w:spacing w:after="80"/>
      </w:pPr>
      <w:r>
        <w:t>Excel (CSV/XLSX) — quand l'acteur va filtrer, trier, recalculer ou croiser les données ailleurs (analyse budgétaire, retraitement par la DFC, tableau croisé, contrôle externe). Le bon test : « quelqu'un va-t-il ouvrir ce fichier dans un tableur ? »</w:t>
      </w:r>
    </w:p>
    <w:p>
      <w:pPr>
        <w:pStyle w:val="ListBullet"/>
        <w:spacing w:after="80"/>
      </w:pPr>
      <w:r>
        <w:t>PDF — quand l'écran produit un document figé destiné à être imprimé, archivé tel quel ou transmis à quelqu'un qui n'a pas accès à la plateforme (comité de direction, DGA-OT, fournisseur, auditeur). Le bon test : « quelqu'un va-t-il l'imprimer ou le joindre à un e-mail sans y retoucher ? »</w:t>
      </w:r>
    </w:p>
    <w:p>
      <w:pPr>
        <w:pStyle w:val="ListBullet"/>
        <w:spacing w:after="80"/>
      </w:pPr>
      <w:r>
        <w:t>Word — seulement quand le document produit est destiné à être réécrit, complété ou assemblé avec d'autres contenus après export (un rapport institutionnel qu'on enrichit d'un commentaire avant envoi, une note qui part ensuite dans un dossier plus large). C'est le cas le plus rare des trois : la plupart des écrans consultatifs n'en ont pas besoin.</w:t>
      </w:r>
    </w:p>
    <w:p>
      <w:pPr>
        <w:spacing w:after="160"/>
      </w:pPr>
      <w:r>
        <w:rPr>
          <w:i w:val="0"/>
        </w:rPr>
        <w:t>À l'inverse, un tableau de bord, un formulaire de saisie ou un écran d'administration ne sont pas des documents : ils changent à chaque consultation et n'ont pas de destinataire externe. Y ajouter un bouton d'export ajoute de la charge de maintenance sans usage réel — le réflexe « tout exportable » coûte plus qu'il ne rapporte.</w:t>
      </w:r>
    </w:p>
    <w:p>
      <w:pPr>
        <w:keepNext/>
        <w:spacing w:before="360" w:after="120"/>
        <w:pBdr>
          <w:bottom w:val="single" w:sz="6" w:color="2C4A63"/>
        </w:pBdr>
      </w:pPr>
      <w:r>
        <w:rPr>
          <w:b/>
          <w:color w:val="1B2F3F"/>
          <w:sz w:val="30"/>
        </w:rPr>
        <w:t>2. État des lieux actuel</w:t>
      </w:r>
    </w:p>
    <w:p>
      <w:pPr>
        <w:spacing w:after="160"/>
      </w:pPr>
      <w:r>
        <w:rPr>
          <w:i w:val="0"/>
        </w:rPr>
        <w:t>Les quatre chambres n'offrent pas le même niveau d'extraction aujourd'hui. Impression navigateur (PDF via « Imprimer ») désigne le raccourci déjà câblé sur les fiches et rapports ; il produit un PDF correct mais sans mise en forme institutionnelle (pas d'en-tête ANADER, pagination approximative).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38"/>
            <w:shd w:val="clear" w:color="auto" w:fill="1B2F3F"/>
          </w:tcPr>
          <w:p>
            <w:r/>
            <w:r>
              <w:rPr>
                <w:b/>
                <w:color w:val="FFFFFF"/>
                <w:sz w:val="19"/>
              </w:rPr>
              <w:t>Chambre</w:t>
            </w:r>
          </w:p>
        </w:tc>
        <w:tc>
          <w:tcPr>
            <w:tcW w:type="dxa" w:w="1814"/>
            <w:shd w:val="clear" w:color="auto" w:fill="1B2F3F"/>
          </w:tcPr>
          <w:p>
            <w:r/>
            <w:r>
              <w:rPr>
                <w:b/>
                <w:color w:val="FFFFFF"/>
                <w:sz w:val="19"/>
              </w:rPr>
              <w:t>Registre / listing</w:t>
            </w:r>
          </w:p>
        </w:tc>
        <w:tc>
          <w:tcPr>
            <w:tcW w:type="dxa" w:w="2551"/>
            <w:shd w:val="clear" w:color="auto" w:fill="1B2F3F"/>
          </w:tcPr>
          <w:p>
            <w:r/>
            <w:r>
              <w:rPr>
                <w:b/>
                <w:color w:val="FFFFFF"/>
                <w:sz w:val="19"/>
              </w:rPr>
              <w:t>Rapport périodique</w:t>
            </w:r>
          </w:p>
        </w:tc>
        <w:tc>
          <w:tcPr>
            <w:tcW w:type="dxa" w:w="2268"/>
            <w:shd w:val="clear" w:color="auto" w:fill="1B2F3F"/>
          </w:tcPr>
          <w:p>
            <w:r/>
            <w:r>
              <w:rPr>
                <w:b/>
                <w:color w:val="FFFFFF"/>
                <w:sz w:val="19"/>
              </w:rPr>
              <w:t>Sauvegarde</w:t>
            </w:r>
          </w:p>
        </w:tc>
      </w:tr>
      <w:tr>
        <w:tc>
          <w:tcPr>
            <w:tcW w:type="dxa" w:w="2438"/>
          </w:tcPr>
          <w:p>
            <w:r/>
            <w:r>
              <w:rPr>
                <w:sz w:val="19"/>
              </w:rPr>
              <w:t>Gestion des courriers</w:t>
            </w:r>
          </w:p>
        </w:tc>
        <w:tc>
          <w:tcPr>
            <w:tcW w:type="dxa" w:w="1814"/>
          </w:tcPr>
          <w:p>
            <w:r/>
            <w:r>
              <w:rPr>
                <w:sz w:val="19"/>
              </w:rPr>
              <w:t>Aucun export</w:t>
            </w:r>
          </w:p>
        </w:tc>
        <w:tc>
          <w:tcPr>
            <w:tcW w:type="dxa" w:w="2551"/>
          </w:tcPr>
          <w:p>
            <w:r/>
            <w:r>
              <w:rPr>
                <w:sz w:val="19"/>
              </w:rPr>
              <w:t>Impression navigateur uniquement</w:t>
            </w:r>
          </w:p>
        </w:tc>
        <w:tc>
          <w:tcPr>
            <w:tcW w:type="dxa" w:w="2268"/>
          </w:tcPr>
          <w:p>
            <w:r/>
            <w:r>
              <w:rPr>
                <w:sz w:val="19"/>
              </w:rPr>
              <w:t>Excel + JSON (sauvegarde complète)</w:t>
            </w:r>
          </w:p>
        </w:tc>
      </w:tr>
      <w:tr>
        <w:tc>
          <w:tcPr>
            <w:tcW w:type="dxa" w:w="2438"/>
          </w:tcPr>
          <w:p>
            <w:r/>
            <w:r>
              <w:rPr>
                <w:sz w:val="19"/>
              </w:rPr>
              <w:t>Gestion de projet</w:t>
            </w:r>
          </w:p>
        </w:tc>
        <w:tc>
          <w:tcPr>
            <w:tcW w:type="dxa" w:w="1814"/>
          </w:tcPr>
          <w:p>
            <w:r/>
            <w:r>
              <w:rPr>
                <w:sz w:val="19"/>
              </w:rPr>
              <w:t>Aucun export</w:t>
            </w:r>
          </w:p>
        </w:tc>
        <w:tc>
          <w:tcPr>
            <w:tcW w:type="dxa" w:w="2551"/>
          </w:tcPr>
          <w:p>
            <w:r/>
            <w:r>
              <w:rPr>
                <w:sz w:val="19"/>
              </w:rPr>
              <w:t>Impression navigateur uniquement (fiches)</w:t>
            </w:r>
          </w:p>
        </w:tc>
        <w:tc>
          <w:tcPr>
            <w:tcW w:type="dxa" w:w="2268"/>
          </w:tcPr>
          <w:p>
            <w:r/>
            <w:r>
              <w:rPr>
                <w:sz w:val="19"/>
              </w:rPr>
              <w:t>Excel + JSON (sauvegarde complète)</w:t>
            </w:r>
          </w:p>
        </w:tc>
      </w:tr>
      <w:tr>
        <w:tc>
          <w:tcPr>
            <w:tcW w:type="dxa" w:w="2438"/>
          </w:tcPr>
          <w:p>
            <w:r/>
            <w:r>
              <w:rPr>
                <w:sz w:val="19"/>
              </w:rPr>
              <w:t>Gestion des opérations</w:t>
            </w:r>
          </w:p>
        </w:tc>
        <w:tc>
          <w:tcPr>
            <w:tcW w:type="dxa" w:w="1814"/>
          </w:tcPr>
          <w:p>
            <w:r/>
            <w:r>
              <w:rPr>
                <w:sz w:val="19"/>
              </w:rPr>
              <w:t>Export CSV</w:t>
            </w:r>
          </w:p>
        </w:tc>
        <w:tc>
          <w:tcPr>
            <w:tcW w:type="dxa" w:w="2551"/>
          </w:tcPr>
          <w:p>
            <w:r/>
            <w:r>
              <w:rPr>
                <w:sz w:val="19"/>
              </w:rPr>
              <w:t>Impression + CSV + HTML autonome</w:t>
            </w:r>
          </w:p>
        </w:tc>
        <w:tc>
          <w:tcPr>
            <w:tcW w:type="dxa" w:w="2268"/>
          </w:tcPr>
          <w:p>
            <w:r/>
            <w:r>
              <w:rPr>
                <w:sz w:val="19"/>
              </w:rPr>
              <w:t>JSON (sauvegarde complète)</w:t>
            </w:r>
          </w:p>
        </w:tc>
      </w:tr>
      <w:tr>
        <w:tc>
          <w:tcPr>
            <w:tcW w:type="dxa" w:w="2438"/>
          </w:tcPr>
          <w:p>
            <w:r/>
            <w:r>
              <w:rPr>
                <w:sz w:val="19"/>
              </w:rPr>
              <w:t>Gestion des contrats fournisseurs</w:t>
            </w:r>
          </w:p>
        </w:tc>
        <w:tc>
          <w:tcPr>
            <w:tcW w:type="dxa" w:w="1814"/>
          </w:tcPr>
          <w:p>
            <w:r/>
            <w:r>
              <w:rPr>
                <w:sz w:val="19"/>
              </w:rPr>
              <w:t>Export CSV</w:t>
            </w:r>
          </w:p>
        </w:tc>
        <w:tc>
          <w:tcPr>
            <w:tcW w:type="dxa" w:w="2551"/>
          </w:tcPr>
          <w:p>
            <w:r/>
            <w:r>
              <w:rPr>
                <w:sz w:val="19"/>
              </w:rPr>
              <w:t>Impression + CSV + HTML autonome</w:t>
            </w:r>
          </w:p>
        </w:tc>
        <w:tc>
          <w:tcPr>
            <w:tcW w:type="dxa" w:w="2268"/>
          </w:tcPr>
          <w:p>
            <w:r/>
            <w:r>
              <w:rPr>
                <w:sz w:val="19"/>
              </w:rPr>
              <w:t>JSON (sauvegarde complète)</w:t>
            </w:r>
          </w:p>
        </w:tc>
      </w:tr>
    </w:tbl>
    <w:p>
      <w:pPr>
        <w:spacing w:after="80"/>
      </w:pPr>
    </w:p>
    <w:p>
      <w:pPr>
        <w:spacing w:after="160"/>
      </w:pPr>
      <w:r>
        <w:rPr>
          <w:i w:val="0"/>
        </w:rPr>
        <w:t>Deux constats : d'une part, les exports « Sauvegarde » existants sont des instantanés techniques de toute la base du module (utiles en cas de restauration), pas des documents lisibles par un tiers — ils ne répondent pas au besoin d'usage externe visé ici. D'autre part, Courriers et Gestion de projet sont en retard sur Opérations et Contrats fournisseurs, qui offrent déjà un export CSV du registre et un rapport HTML autonome en plus de l'impression.</w:t>
      </w:r>
    </w:p>
    <w:p>
      <w:pPr>
        <w:keepNext/>
        <w:spacing w:before="360" w:after="120"/>
        <w:pBdr>
          <w:bottom w:val="single" w:sz="6" w:color="2C4A63"/>
        </w:pBdr>
      </w:pPr>
      <w:r>
        <w:rPr>
          <w:b/>
          <w:color w:val="1B2F3F"/>
          <w:sz w:val="30"/>
        </w:rPr>
        <w:t>3. Recommandations, écran par écran</w:t>
      </w:r>
    </w:p>
    <w:p>
      <w:pPr>
        <w:keepNext/>
        <w:spacing w:before="240" w:after="80"/>
      </w:pPr>
      <w:r>
        <w:rPr>
          <w:b/>
          <w:color w:val="2C4A63"/>
          <w:sz w:val="25"/>
        </w:rPr>
        <w:t>3.1 Gestion des courriers</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1B2F3F"/>
          </w:tcPr>
          <w:p>
            <w:r/>
            <w:r>
              <w:rPr>
                <w:b/>
                <w:color w:val="FFFFFF"/>
                <w:sz w:val="19"/>
              </w:rPr>
              <w:t>Onglet / écran</w:t>
            </w:r>
          </w:p>
        </w:tc>
        <w:tc>
          <w:tcPr>
            <w:tcW w:type="dxa" w:w="2154"/>
            <w:shd w:val="clear" w:color="auto" w:fill="1B2F3F"/>
          </w:tcPr>
          <w:p>
            <w:r/>
            <w:r>
              <w:rPr>
                <w:b/>
                <w:color w:val="FFFFFF"/>
                <w:sz w:val="19"/>
              </w:rPr>
              <w:t>Export pertinent</w:t>
            </w:r>
          </w:p>
        </w:tc>
        <w:tc>
          <w:tcPr>
            <w:tcW w:type="dxa" w:w="4649"/>
            <w:shd w:val="clear" w:color="auto" w:fill="1B2F3F"/>
          </w:tcPr>
          <w:p>
            <w:r/>
            <w:r>
              <w:rPr>
                <w:b/>
                <w:color w:val="FFFFFF"/>
                <w:sz w:val="19"/>
              </w:rPr>
              <w:t>Justification</w:t>
            </w:r>
          </w:p>
        </w:tc>
      </w:tr>
      <w:tr>
        <w:tc>
          <w:tcPr>
            <w:tcW w:type="dxa" w:w="2268"/>
          </w:tcPr>
          <w:p>
            <w:r/>
            <w:r>
              <w:rPr>
                <w:sz w:val="19"/>
              </w:rPr>
              <w:t>Tableau de bord</w:t>
            </w:r>
          </w:p>
        </w:tc>
        <w:tc>
          <w:tcPr>
            <w:tcW w:type="dxa" w:w="2154"/>
          </w:tcPr>
          <w:p>
            <w:r/>
            <w:r>
              <w:rPr>
                <w:sz w:val="19"/>
              </w:rPr>
              <w:t>Aucun</w:t>
            </w:r>
          </w:p>
        </w:tc>
        <w:tc>
          <w:tcPr>
            <w:tcW w:type="dxa" w:w="4649"/>
          </w:tcPr>
          <w:p>
            <w:r/>
            <w:r>
              <w:rPr>
                <w:sz w:val="19"/>
              </w:rPr>
              <w:t>Indicateurs vivants, sans destinataire externe ; se périment à la consultation suivante.</w:t>
            </w:r>
          </w:p>
        </w:tc>
      </w:tr>
      <w:tr>
        <w:tc>
          <w:tcPr>
            <w:tcW w:type="dxa" w:w="2268"/>
          </w:tcPr>
          <w:p>
            <w:r/>
            <w:r>
              <w:rPr>
                <w:sz w:val="19"/>
              </w:rPr>
              <w:t>Enregistrer / traiter un courrier</w:t>
            </w:r>
          </w:p>
        </w:tc>
        <w:tc>
          <w:tcPr>
            <w:tcW w:type="dxa" w:w="2154"/>
          </w:tcPr>
          <w:p>
            <w:r/>
            <w:r>
              <w:rPr>
                <w:sz w:val="19"/>
              </w:rPr>
              <w:t>Aucun</w:t>
            </w:r>
          </w:p>
        </w:tc>
        <w:tc>
          <w:tcPr>
            <w:tcW w:type="dxa" w:w="4649"/>
          </w:tcPr>
          <w:p>
            <w:r/>
            <w:r>
              <w:rPr>
                <w:sz w:val="19"/>
              </w:rPr>
              <w:t>Formulaire de saisie, pas un document.</w:t>
            </w:r>
          </w:p>
        </w:tc>
      </w:tr>
      <w:tr>
        <w:tc>
          <w:tcPr>
            <w:tcW w:type="dxa" w:w="2268"/>
          </w:tcPr>
          <w:p>
            <w:r/>
            <w:r>
              <w:rPr>
                <w:sz w:val="19"/>
              </w:rPr>
              <w:t>Registre des courriers</w:t>
            </w:r>
          </w:p>
        </w:tc>
        <w:tc>
          <w:tcPr>
            <w:tcW w:type="dxa" w:w="2154"/>
          </w:tcPr>
          <w:p>
            <w:r/>
            <w:r>
              <w:rPr>
                <w:sz w:val="19"/>
              </w:rPr>
              <w:t>Excel (CSV)</w:t>
            </w:r>
          </w:p>
        </w:tc>
        <w:tc>
          <w:tcPr>
            <w:tcW w:type="dxa" w:w="4649"/>
          </w:tcPr>
          <w:p>
            <w:r/>
            <w:r>
              <w:rPr>
                <w:sz w:val="19"/>
              </w:rPr>
              <w:t>Priorité n°1 : la DFC et les directions demandent régulièrement l'état du courrier sur une période — aujourd'hui il faut le retaper à la main.</w:t>
            </w:r>
          </w:p>
        </w:tc>
      </w:tr>
      <w:tr>
        <w:tc>
          <w:tcPr>
            <w:tcW w:type="dxa" w:w="2268"/>
          </w:tcPr>
          <w:p>
            <w:r/>
            <w:r>
              <w:rPr>
                <w:sz w:val="19"/>
              </w:rPr>
              <w:t>Fiche d'un courrier</w:t>
            </w:r>
          </w:p>
        </w:tc>
        <w:tc>
          <w:tcPr>
            <w:tcW w:type="dxa" w:w="2154"/>
          </w:tcPr>
          <w:p>
            <w:r/>
            <w:r>
              <w:rPr>
                <w:sz w:val="19"/>
              </w:rPr>
              <w:t>PDF (déjà en place)</w:t>
            </w:r>
          </w:p>
        </w:tc>
        <w:tc>
          <w:tcPr>
            <w:tcW w:type="dxa" w:w="4649"/>
          </w:tcPr>
          <w:p>
            <w:r/>
            <w:r>
              <w:rPr>
                <w:sz w:val="19"/>
              </w:rPr>
              <w:t>Bon usage actuel : preuve de traitement à joindre à un dossier physique. Aucun changement nécessaire.</w:t>
            </w:r>
          </w:p>
        </w:tc>
      </w:tr>
      <w:tr>
        <w:tc>
          <w:tcPr>
            <w:tcW w:type="dxa" w:w="2268"/>
          </w:tcPr>
          <w:p>
            <w:r/>
            <w:r>
              <w:rPr>
                <w:sz w:val="19"/>
              </w:rPr>
              <w:t>Rapport périodique</w:t>
            </w:r>
          </w:p>
        </w:tc>
        <w:tc>
          <w:tcPr>
            <w:tcW w:type="dxa" w:w="2154"/>
          </w:tcPr>
          <w:p>
            <w:r/>
            <w:r>
              <w:rPr>
                <w:sz w:val="19"/>
              </w:rPr>
              <w:t>PDF institutionnel + Excel (CSV)</w:t>
            </w:r>
          </w:p>
        </w:tc>
        <w:tc>
          <w:tcPr>
            <w:tcW w:type="dxa" w:w="4649"/>
          </w:tcPr>
          <w:p>
            <w:r/>
            <w:r>
              <w:rPr>
                <w:sz w:val="19"/>
              </w:rPr>
              <w:t>Le PDF actuel (impression navigateur) n'a pas l'en-tête ANADER ; un PDF avec mise en page institutionnelle est attendu pour un document transmis à la Direction. Le CSV permet à la DFC de recroiser les volumes.</w:t>
            </w:r>
          </w:p>
        </w:tc>
      </w:tr>
      <w:tr>
        <w:tc>
          <w:tcPr>
            <w:tcW w:type="dxa" w:w="2268"/>
          </w:tcPr>
          <w:p>
            <w:r/>
            <w:r>
              <w:rPr>
                <w:sz w:val="19"/>
              </w:rPr>
              <w:t>Paramétrage</w:t>
            </w:r>
          </w:p>
        </w:tc>
        <w:tc>
          <w:tcPr>
            <w:tcW w:type="dxa" w:w="2154"/>
          </w:tcPr>
          <w:p>
            <w:r/>
            <w:r>
              <w:rPr>
                <w:sz w:val="19"/>
              </w:rPr>
              <w:t>Aucun</w:t>
            </w:r>
          </w:p>
        </w:tc>
        <w:tc>
          <w:tcPr>
            <w:tcW w:type="dxa" w:w="4649"/>
          </w:tcPr>
          <w:p>
            <w:r/>
            <w:r>
              <w:rPr>
                <w:sz w:val="19"/>
              </w:rPr>
              <w:t>Écran d'administration interne.</w:t>
            </w:r>
          </w:p>
        </w:tc>
      </w:tr>
    </w:tbl>
    <w:p>
      <w:pPr>
        <w:spacing w:after="80"/>
      </w:pPr>
    </w:p>
    <w:p>
      <w:pPr>
        <w:keepNext/>
        <w:spacing w:before="240" w:after="80"/>
      </w:pPr>
      <w:r>
        <w:rPr>
          <w:b/>
          <w:color w:val="2C4A63"/>
          <w:sz w:val="25"/>
        </w:rPr>
        <w:t>3.2 Gestion de projet</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1B2F3F"/>
          </w:tcPr>
          <w:p>
            <w:r/>
            <w:r>
              <w:rPr>
                <w:b/>
                <w:color w:val="FFFFFF"/>
                <w:sz w:val="19"/>
              </w:rPr>
              <w:t>Onglet / écran</w:t>
            </w:r>
          </w:p>
        </w:tc>
        <w:tc>
          <w:tcPr>
            <w:tcW w:type="dxa" w:w="2154"/>
            <w:shd w:val="clear" w:color="auto" w:fill="1B2F3F"/>
          </w:tcPr>
          <w:p>
            <w:r/>
            <w:r>
              <w:rPr>
                <w:b/>
                <w:color w:val="FFFFFF"/>
                <w:sz w:val="19"/>
              </w:rPr>
              <w:t>Export pertinent</w:t>
            </w:r>
          </w:p>
        </w:tc>
        <w:tc>
          <w:tcPr>
            <w:tcW w:type="dxa" w:w="4649"/>
            <w:shd w:val="clear" w:color="auto" w:fill="1B2F3F"/>
          </w:tcPr>
          <w:p>
            <w:r/>
            <w:r>
              <w:rPr>
                <w:b/>
                <w:color w:val="FFFFFF"/>
                <w:sz w:val="19"/>
              </w:rPr>
              <w:t>Justification</w:t>
            </w:r>
          </w:p>
        </w:tc>
      </w:tr>
      <w:tr>
        <w:tc>
          <w:tcPr>
            <w:tcW w:type="dxa" w:w="2268"/>
          </w:tcPr>
          <w:p>
            <w:r/>
            <w:r>
              <w:rPr>
                <w:sz w:val="19"/>
              </w:rPr>
              <w:t>Charte / parties prenantes / RACI / WBS</w:t>
            </w:r>
          </w:p>
        </w:tc>
        <w:tc>
          <w:tcPr>
            <w:tcW w:type="dxa" w:w="2154"/>
          </w:tcPr>
          <w:p>
            <w:r/>
            <w:r>
              <w:rPr>
                <w:sz w:val="19"/>
              </w:rPr>
              <w:t>Aucun (Word en option ponctuelle)</w:t>
            </w:r>
          </w:p>
        </w:tc>
        <w:tc>
          <w:tcPr>
            <w:tcW w:type="dxa" w:w="4649"/>
          </w:tcPr>
          <w:p>
            <w:r/>
            <w:r>
              <w:rPr>
                <w:sz w:val="19"/>
              </w:rPr>
              <w:t>Documents de cadrage déjà produits en amont dans le Classeur de cadrage (Excel) ; les dupliquer ici ferait deux sources de vérité. Un export Word au cas par cas, à la demande du chef de projet pour joindre la charte à un dossier de financement, resterait ponctuel plutôt que systématique.</w:t>
            </w:r>
          </w:p>
        </w:tc>
      </w:tr>
      <w:tr>
        <w:tc>
          <w:tcPr>
            <w:tcW w:type="dxa" w:w="2268"/>
          </w:tcPr>
          <w:p>
            <w:r/>
            <w:r>
              <w:rPr>
                <w:sz w:val="19"/>
              </w:rPr>
              <w:t>Planning visuel (Gantt)</w:t>
            </w:r>
          </w:p>
        </w:tc>
        <w:tc>
          <w:tcPr>
            <w:tcW w:type="dxa" w:w="2154"/>
          </w:tcPr>
          <w:p>
            <w:r/>
            <w:r>
              <w:rPr>
                <w:sz w:val="19"/>
              </w:rPr>
              <w:t>PDF (image figée)</w:t>
            </w:r>
          </w:p>
        </w:tc>
        <w:tc>
          <w:tcPr>
            <w:tcW w:type="dxa" w:w="4649"/>
          </w:tcPr>
          <w:p>
            <w:r/>
            <w:r>
              <w:rPr>
                <w:sz w:val="19"/>
              </w:rPr>
              <w:t>Utile en revue de projet et en comité de pilotage pour montrer l'état à une date donnée, hors de la plateforme. Un export « données » (Excel) aurait peu de valeur : le planning n'est pas une liste à retraiter.</w:t>
            </w:r>
          </w:p>
        </w:tc>
      </w:tr>
      <w:tr>
        <w:tc>
          <w:tcPr>
            <w:tcW w:type="dxa" w:w="2268"/>
          </w:tcPr>
          <w:p>
            <w:r/>
            <w:r>
              <w:rPr>
                <w:sz w:val="19"/>
              </w:rPr>
              <w:t>Budget</w:t>
            </w:r>
          </w:p>
        </w:tc>
        <w:tc>
          <w:tcPr>
            <w:tcW w:type="dxa" w:w="2154"/>
          </w:tcPr>
          <w:p>
            <w:r/>
            <w:r>
              <w:rPr>
                <w:sz w:val="19"/>
              </w:rPr>
              <w:t>Excel (XLSX)</w:t>
            </w:r>
          </w:p>
        </w:tc>
        <w:tc>
          <w:tcPr>
            <w:tcW w:type="dxa" w:w="4649"/>
          </w:tcPr>
          <w:p>
            <w:r/>
            <w:r>
              <w:rPr>
                <w:sz w:val="19"/>
              </w:rPr>
              <w:t>Le suivi budgétaire par poste (prévu / actuel / engagé / payé) est exactement le type de donnée que la DFC veut recalculer et croiser dans ses propres tableaux ; c'est le cas le plus net de tout ce document.</w:t>
            </w:r>
          </w:p>
        </w:tc>
      </w:tr>
      <w:tr>
        <w:tc>
          <w:tcPr>
            <w:tcW w:type="dxa" w:w="2268"/>
          </w:tcPr>
          <w:p>
            <w:r/>
            <w:r>
              <w:rPr>
                <w:sz w:val="19"/>
              </w:rPr>
              <w:t>Risques</w:t>
            </w:r>
          </w:p>
        </w:tc>
        <w:tc>
          <w:tcPr>
            <w:tcW w:type="dxa" w:w="2154"/>
          </w:tcPr>
          <w:p>
            <w:r/>
            <w:r>
              <w:rPr>
                <w:sz w:val="19"/>
              </w:rPr>
              <w:t>PDF (matrice figée)</w:t>
            </w:r>
          </w:p>
        </w:tc>
        <w:tc>
          <w:tcPr>
            <w:tcW w:type="dxa" w:w="4649"/>
          </w:tcPr>
          <w:p>
            <w:r/>
            <w:r>
              <w:rPr>
                <w:sz w:val="19"/>
              </w:rPr>
              <w:t>La matrice de criticité est surtout utile visuellement en revue de risques ; un export Excel de la liste des risques peut s'ajouter en complément léger si le registre s'allonge, mais n'est pas prioritaire.</w:t>
            </w:r>
          </w:p>
        </w:tc>
      </w:tr>
      <w:tr>
        <w:tc>
          <w:tcPr>
            <w:tcW w:type="dxa" w:w="2268"/>
          </w:tcPr>
          <w:p>
            <w:r/>
            <w:r>
              <w:rPr>
                <w:sz w:val="19"/>
              </w:rPr>
              <w:t>Registre (jalons, livrables, décisions)</w:t>
            </w:r>
          </w:p>
        </w:tc>
        <w:tc>
          <w:tcPr>
            <w:tcW w:type="dxa" w:w="2154"/>
          </w:tcPr>
          <w:p>
            <w:r/>
            <w:r>
              <w:rPr>
                <w:sz w:val="19"/>
              </w:rPr>
              <w:t>Excel (CSV)</w:t>
            </w:r>
          </w:p>
        </w:tc>
        <w:tc>
          <w:tcPr>
            <w:tcW w:type="dxa" w:w="4649"/>
          </w:tcPr>
          <w:p>
            <w:r/>
            <w:r>
              <w:rPr>
                <w:sz w:val="19"/>
              </w:rPr>
              <w:t>Même besoin que pour les courriers : permettre un contrôle ou une analyse hors plateforme sans ressaisie.</w:t>
            </w:r>
          </w:p>
        </w:tc>
      </w:tr>
      <w:tr>
        <w:tc>
          <w:tcPr>
            <w:tcW w:type="dxa" w:w="2268"/>
          </w:tcPr>
          <w:p>
            <w:r/>
            <w:r>
              <w:rPr>
                <w:sz w:val="19"/>
              </w:rPr>
              <w:t>Fiche projet / rapports d'avancement</w:t>
            </w:r>
          </w:p>
        </w:tc>
        <w:tc>
          <w:tcPr>
            <w:tcW w:type="dxa" w:w="2154"/>
          </w:tcPr>
          <w:p>
            <w:r/>
            <w:r>
              <w:rPr>
                <w:sz w:val="19"/>
              </w:rPr>
              <w:t>PDF institutionnel</w:t>
            </w:r>
          </w:p>
        </w:tc>
        <w:tc>
          <w:tcPr>
            <w:tcW w:type="dxa" w:w="4649"/>
          </w:tcPr>
          <w:p>
            <w:r/>
            <w:r>
              <w:rPr>
                <w:sz w:val="19"/>
              </w:rPr>
              <w:t>Déjà en impression navigateur ; à faire évoluer vers un PDF avec en-tête ANADER pour les rapports transmis en dehors du portail (comité de pilotage, bailleur).</w:t>
            </w:r>
          </w:p>
        </w:tc>
      </w:tr>
    </w:tbl>
    <w:p>
      <w:pPr>
        <w:spacing w:after="80"/>
      </w:pPr>
    </w:p>
    <w:p>
      <w:pPr>
        <w:keepNext/>
        <w:spacing w:before="240" w:after="80"/>
      </w:pPr>
      <w:r>
        <w:rPr>
          <w:b/>
          <w:color w:val="2C4A63"/>
          <w:sz w:val="25"/>
        </w:rPr>
        <w:t>3.3 Gestion des opérations</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1B2F3F"/>
          </w:tcPr>
          <w:p>
            <w:r/>
            <w:r>
              <w:rPr>
                <w:b/>
                <w:color w:val="FFFFFF"/>
                <w:sz w:val="19"/>
              </w:rPr>
              <w:t>Onglet / écran</w:t>
            </w:r>
          </w:p>
        </w:tc>
        <w:tc>
          <w:tcPr>
            <w:tcW w:type="dxa" w:w="2154"/>
            <w:shd w:val="clear" w:color="auto" w:fill="1B2F3F"/>
          </w:tcPr>
          <w:p>
            <w:r/>
            <w:r>
              <w:rPr>
                <w:b/>
                <w:color w:val="FFFFFF"/>
                <w:sz w:val="19"/>
              </w:rPr>
              <w:t>Export pertinent</w:t>
            </w:r>
          </w:p>
        </w:tc>
        <w:tc>
          <w:tcPr>
            <w:tcW w:type="dxa" w:w="4649"/>
            <w:shd w:val="clear" w:color="auto" w:fill="1B2F3F"/>
          </w:tcPr>
          <w:p>
            <w:r/>
            <w:r>
              <w:rPr>
                <w:b/>
                <w:color w:val="FFFFFF"/>
                <w:sz w:val="19"/>
              </w:rPr>
              <w:t>Justification</w:t>
            </w:r>
          </w:p>
        </w:tc>
      </w:tr>
      <w:tr>
        <w:tc>
          <w:tcPr>
            <w:tcW w:type="dxa" w:w="2268"/>
          </w:tcPr>
          <w:p>
            <w:r/>
            <w:r>
              <w:rPr>
                <w:sz w:val="19"/>
              </w:rPr>
              <w:t>Aujourd'hui / Suivi (kanban) / Mes activités</w:t>
            </w:r>
          </w:p>
        </w:tc>
        <w:tc>
          <w:tcPr>
            <w:tcW w:type="dxa" w:w="2154"/>
          </w:tcPr>
          <w:p>
            <w:r/>
            <w:r>
              <w:rPr>
                <w:sz w:val="19"/>
              </w:rPr>
              <w:t>Aucun</w:t>
            </w:r>
          </w:p>
        </w:tc>
        <w:tc>
          <w:tcPr>
            <w:tcW w:type="dxa" w:w="4649"/>
          </w:tcPr>
          <w:p>
            <w:r/>
            <w:r>
              <w:rPr>
                <w:sz w:val="19"/>
              </w:rPr>
              <w:t>Vues de travail quotidien, jamais figées, jamais transmises telles quelles.</w:t>
            </w:r>
          </w:p>
        </w:tc>
      </w:tr>
      <w:tr>
        <w:tc>
          <w:tcPr>
            <w:tcW w:type="dxa" w:w="2268"/>
          </w:tcPr>
          <w:p>
            <w:r/>
            <w:r>
              <w:rPr>
                <w:sz w:val="19"/>
              </w:rPr>
              <w:t>Registre général</w:t>
            </w:r>
          </w:p>
        </w:tc>
        <w:tc>
          <w:tcPr>
            <w:tcW w:type="dxa" w:w="2154"/>
          </w:tcPr>
          <w:p>
            <w:r/>
            <w:r>
              <w:rPr>
                <w:sz w:val="19"/>
              </w:rPr>
              <w:t>Déjà en place (CSV)</w:t>
            </w:r>
          </w:p>
        </w:tc>
        <w:tc>
          <w:tcPr>
            <w:tcW w:type="dxa" w:w="4649"/>
          </w:tcPr>
          <w:p>
            <w:r/>
            <w:r>
              <w:rPr>
                <w:sz w:val="19"/>
              </w:rPr>
              <w:t>Couvre le besoin ; aucun changement nécessaire.</w:t>
            </w:r>
          </w:p>
        </w:tc>
      </w:tr>
      <w:tr>
        <w:tc>
          <w:tcPr>
            <w:tcW w:type="dxa" w:w="2268"/>
          </w:tcPr>
          <w:p>
            <w:r/>
            <w:r>
              <w:rPr>
                <w:sz w:val="19"/>
              </w:rPr>
              <w:t>Rapport périodique</w:t>
            </w:r>
          </w:p>
        </w:tc>
        <w:tc>
          <w:tcPr>
            <w:tcW w:type="dxa" w:w="2154"/>
          </w:tcPr>
          <w:p>
            <w:r/>
            <w:r>
              <w:rPr>
                <w:sz w:val="19"/>
              </w:rPr>
              <w:t>Déjà en place (impression + CSV + HTML) — à muscler en PDF institutionnel</w:t>
            </w:r>
          </w:p>
        </w:tc>
        <w:tc>
          <w:tcPr>
            <w:tcW w:type="dxa" w:w="4649"/>
          </w:tcPr>
          <w:p>
            <w:r/>
            <w:r>
              <w:rPr>
                <w:sz w:val="19"/>
              </w:rPr>
              <w:t>Le PDF via impression navigateur n'a pas la mise en page ANADER ; c'est la seule amélioration utile ici, pour un rapport qui remonte au pilotage mensuel du processus PS3.</w:t>
            </w:r>
          </w:p>
        </w:tc>
      </w:tr>
      <w:tr>
        <w:tc>
          <w:tcPr>
            <w:tcW w:type="dxa" w:w="2268"/>
          </w:tcPr>
          <w:p>
            <w:r/>
            <w:r>
              <w:rPr>
                <w:sz w:val="19"/>
              </w:rPr>
              <w:t>Points d'attention / revues</w:t>
            </w:r>
          </w:p>
        </w:tc>
        <w:tc>
          <w:tcPr>
            <w:tcW w:type="dxa" w:w="2154"/>
          </w:tcPr>
          <w:p>
            <w:r/>
            <w:r>
              <w:rPr>
                <w:sz w:val="19"/>
              </w:rPr>
              <w:t>Aucun export dédié</w:t>
            </w:r>
          </w:p>
        </w:tc>
        <w:tc>
          <w:tcPr>
            <w:tcW w:type="dxa" w:w="4649"/>
          </w:tcPr>
          <w:p>
            <w:r/>
            <w:r>
              <w:rPr>
                <w:sz w:val="19"/>
              </w:rPr>
              <w:t>Le rapport périodique en couvre déjà la synthèse ; un export séparé ferait doublon.</w:t>
            </w:r>
          </w:p>
        </w:tc>
      </w:tr>
      <w:tr>
        <w:tc>
          <w:tcPr>
            <w:tcW w:type="dxa" w:w="2268"/>
          </w:tcPr>
          <w:p>
            <w:r/>
            <w:r>
              <w:rPr>
                <w:sz w:val="19"/>
              </w:rPr>
              <w:t>Catalogue d'activités / Paramétrage</w:t>
            </w:r>
          </w:p>
        </w:tc>
        <w:tc>
          <w:tcPr>
            <w:tcW w:type="dxa" w:w="2154"/>
          </w:tcPr>
          <w:p>
            <w:r/>
            <w:r>
              <w:rPr>
                <w:sz w:val="19"/>
              </w:rPr>
              <w:t>Aucun</w:t>
            </w:r>
          </w:p>
        </w:tc>
        <w:tc>
          <w:tcPr>
            <w:tcW w:type="dxa" w:w="4649"/>
          </w:tcPr>
          <w:p>
            <w:r/>
            <w:r>
              <w:rPr>
                <w:sz w:val="19"/>
              </w:rPr>
              <w:t>Écrans d'administration interne.</w:t>
            </w:r>
          </w:p>
        </w:tc>
      </w:tr>
    </w:tbl>
    <w:p>
      <w:pPr>
        <w:spacing w:after="80"/>
      </w:pPr>
    </w:p>
    <w:p>
      <w:pPr>
        <w:keepNext/>
        <w:spacing w:before="240" w:after="80"/>
      </w:pPr>
      <w:r>
        <w:rPr>
          <w:b/>
          <w:color w:val="2C4A63"/>
          <w:sz w:val="25"/>
        </w:rPr>
        <w:t>3.4 Gestion des contrats fournisseurs</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1B2F3F"/>
          </w:tcPr>
          <w:p>
            <w:r/>
            <w:r>
              <w:rPr>
                <w:b/>
                <w:color w:val="FFFFFF"/>
                <w:sz w:val="19"/>
              </w:rPr>
              <w:t>Onglet / écran</w:t>
            </w:r>
          </w:p>
        </w:tc>
        <w:tc>
          <w:tcPr>
            <w:tcW w:type="dxa" w:w="2154"/>
            <w:shd w:val="clear" w:color="auto" w:fill="1B2F3F"/>
          </w:tcPr>
          <w:p>
            <w:r/>
            <w:r>
              <w:rPr>
                <w:b/>
                <w:color w:val="FFFFFF"/>
                <w:sz w:val="19"/>
              </w:rPr>
              <w:t>Export pertinent</w:t>
            </w:r>
          </w:p>
        </w:tc>
        <w:tc>
          <w:tcPr>
            <w:tcW w:type="dxa" w:w="4649"/>
            <w:shd w:val="clear" w:color="auto" w:fill="1B2F3F"/>
          </w:tcPr>
          <w:p>
            <w:r/>
            <w:r>
              <w:rPr>
                <w:b/>
                <w:color w:val="FFFFFF"/>
                <w:sz w:val="19"/>
              </w:rPr>
              <w:t>Justification</w:t>
            </w:r>
          </w:p>
        </w:tc>
      </w:tr>
      <w:tr>
        <w:tc>
          <w:tcPr>
            <w:tcW w:type="dxa" w:w="2268"/>
          </w:tcPr>
          <w:p>
            <w:r/>
            <w:r>
              <w:rPr>
                <w:sz w:val="19"/>
              </w:rPr>
              <w:t>Tableau de bord</w:t>
            </w:r>
          </w:p>
        </w:tc>
        <w:tc>
          <w:tcPr>
            <w:tcW w:type="dxa" w:w="2154"/>
          </w:tcPr>
          <w:p>
            <w:r/>
            <w:r>
              <w:rPr>
                <w:sz w:val="19"/>
              </w:rPr>
              <w:t>Aucun</w:t>
            </w:r>
          </w:p>
        </w:tc>
        <w:tc>
          <w:tcPr>
            <w:tcW w:type="dxa" w:w="4649"/>
          </w:tcPr>
          <w:p>
            <w:r/>
            <w:r>
              <w:rPr>
                <w:sz w:val="19"/>
              </w:rPr>
              <w:t>Indicateurs vivants, comme pour les trois autres chambres.</w:t>
            </w:r>
          </w:p>
        </w:tc>
      </w:tr>
      <w:tr>
        <w:tc>
          <w:tcPr>
            <w:tcW w:type="dxa" w:w="2268"/>
          </w:tcPr>
          <w:p>
            <w:r/>
            <w:r>
              <w:rPr>
                <w:sz w:val="19"/>
              </w:rPr>
              <w:t>Enregistrer / Importer</w:t>
            </w:r>
          </w:p>
        </w:tc>
        <w:tc>
          <w:tcPr>
            <w:tcW w:type="dxa" w:w="2154"/>
          </w:tcPr>
          <w:p>
            <w:r/>
            <w:r>
              <w:rPr>
                <w:sz w:val="19"/>
              </w:rPr>
              <w:t>Aucun</w:t>
            </w:r>
          </w:p>
        </w:tc>
        <w:tc>
          <w:tcPr>
            <w:tcW w:type="dxa" w:w="4649"/>
          </w:tcPr>
          <w:p>
            <w:r/>
            <w:r>
              <w:rPr>
                <w:sz w:val="19"/>
              </w:rPr>
              <w:t>Formulaires de saisie.</w:t>
            </w:r>
          </w:p>
        </w:tc>
      </w:tr>
      <w:tr>
        <w:tc>
          <w:tcPr>
            <w:tcW w:type="dxa" w:w="2268"/>
          </w:tcPr>
          <w:p>
            <w:r/>
            <w:r>
              <w:rPr>
                <w:sz w:val="19"/>
              </w:rPr>
              <w:t>À imputer / Mes contrats</w:t>
            </w:r>
          </w:p>
        </w:tc>
        <w:tc>
          <w:tcPr>
            <w:tcW w:type="dxa" w:w="2154"/>
          </w:tcPr>
          <w:p>
            <w:r/>
            <w:r>
              <w:rPr>
                <w:sz w:val="19"/>
              </w:rPr>
              <w:t>Aucun</w:t>
            </w:r>
          </w:p>
        </w:tc>
        <w:tc>
          <w:tcPr>
            <w:tcW w:type="dxa" w:w="4649"/>
          </w:tcPr>
          <w:p>
            <w:r/>
            <w:r>
              <w:rPr>
                <w:sz w:val="19"/>
              </w:rPr>
              <w:t>Files de travail personnelles, sans usage externe.</w:t>
            </w:r>
          </w:p>
        </w:tc>
      </w:tr>
      <w:tr>
        <w:tc>
          <w:tcPr>
            <w:tcW w:type="dxa" w:w="2268"/>
          </w:tcPr>
          <w:p>
            <w:r/>
            <w:r>
              <w:rPr>
                <w:sz w:val="19"/>
              </w:rPr>
              <w:t>Registre des contrats</w:t>
            </w:r>
          </w:p>
        </w:tc>
        <w:tc>
          <w:tcPr>
            <w:tcW w:type="dxa" w:w="2154"/>
          </w:tcPr>
          <w:p>
            <w:r/>
            <w:r>
              <w:rPr>
                <w:sz w:val="19"/>
              </w:rPr>
              <w:t>Déjà en place (CSV)</w:t>
            </w:r>
          </w:p>
        </w:tc>
        <w:tc>
          <w:tcPr>
            <w:tcW w:type="dxa" w:w="4649"/>
          </w:tcPr>
          <w:p>
            <w:r/>
            <w:r>
              <w:rPr>
                <w:sz w:val="19"/>
              </w:rPr>
              <w:t>Couvre le besoin d'analyse externe.</w:t>
            </w:r>
          </w:p>
        </w:tc>
      </w:tr>
      <w:tr>
        <w:tc>
          <w:tcPr>
            <w:tcW w:type="dxa" w:w="2268"/>
          </w:tcPr>
          <w:p>
            <w:r/>
            <w:r>
              <w:rPr>
                <w:sz w:val="19"/>
              </w:rPr>
              <w:t>Fiche d'un contrat</w:t>
            </w:r>
          </w:p>
        </w:tc>
        <w:tc>
          <w:tcPr>
            <w:tcW w:type="dxa" w:w="2154"/>
          </w:tcPr>
          <w:p>
            <w:r/>
            <w:r>
              <w:rPr>
                <w:sz w:val="19"/>
              </w:rPr>
              <w:t>PDF (déjà en place)</w:t>
            </w:r>
          </w:p>
        </w:tc>
        <w:tc>
          <w:tcPr>
            <w:tcW w:type="dxa" w:w="4649"/>
          </w:tcPr>
          <w:p>
            <w:r/>
            <w:r>
              <w:rPr>
                <w:sz w:val="19"/>
              </w:rPr>
              <w:t>Bon usage actuel — dossier contractuel à archiver ou transmettre.</w:t>
            </w:r>
          </w:p>
        </w:tc>
      </w:tr>
      <w:tr>
        <w:tc>
          <w:tcPr>
            <w:tcW w:type="dxa" w:w="2268"/>
          </w:tcPr>
          <w:p>
            <w:r/>
            <w:r>
              <w:rPr>
                <w:sz w:val="19"/>
              </w:rPr>
              <w:t>Grille fournisseur (évaluations)</w:t>
            </w:r>
          </w:p>
        </w:tc>
        <w:tc>
          <w:tcPr>
            <w:tcW w:type="dxa" w:w="2154"/>
          </w:tcPr>
          <w:p>
            <w:r/>
            <w:r>
              <w:rPr>
                <w:sz w:val="19"/>
              </w:rPr>
              <w:t>Excel (XLSX)</w:t>
            </w:r>
          </w:p>
        </w:tc>
        <w:tc>
          <w:tcPr>
            <w:tcW w:type="dxa" w:w="4649"/>
          </w:tcPr>
          <w:p>
            <w:r/>
            <w:r>
              <w:rPr>
                <w:sz w:val="19"/>
              </w:rPr>
              <w:t>L'historique des scores par fournisseur et par période est exactement le type de donnée qu'un acheteur ou le Directeur veut comparer dans un tableur avant une décision de reconduction — le CSV existant sur le registre ne couvre pas cet écran.</w:t>
            </w:r>
          </w:p>
        </w:tc>
      </w:tr>
      <w:tr>
        <w:tc>
          <w:tcPr>
            <w:tcW w:type="dxa" w:w="2268"/>
          </w:tcPr>
          <w:p>
            <w:r/>
            <w:r>
              <w:rPr>
                <w:sz w:val="19"/>
              </w:rPr>
              <w:t>Alertes &amp; relances / Revues périodiques</w:t>
            </w:r>
          </w:p>
        </w:tc>
        <w:tc>
          <w:tcPr>
            <w:tcW w:type="dxa" w:w="2154"/>
          </w:tcPr>
          <w:p>
            <w:r/>
            <w:r>
              <w:rPr>
                <w:sz w:val="19"/>
              </w:rPr>
              <w:t>Aucun export dédié</w:t>
            </w:r>
          </w:p>
        </w:tc>
        <w:tc>
          <w:tcPr>
            <w:tcW w:type="dxa" w:w="4649"/>
          </w:tcPr>
          <w:p>
            <w:r/>
            <w:r>
              <w:rPr>
                <w:sz w:val="19"/>
              </w:rPr>
              <w:t>Repris dans le rapport périodique ; pas de besoin externe isolé.</w:t>
            </w:r>
          </w:p>
        </w:tc>
      </w:tr>
      <w:tr>
        <w:tc>
          <w:tcPr>
            <w:tcW w:type="dxa" w:w="2268"/>
          </w:tcPr>
          <w:p>
            <w:r/>
            <w:r>
              <w:rPr>
                <w:sz w:val="19"/>
              </w:rPr>
              <w:t>Rapports</w:t>
            </w:r>
          </w:p>
        </w:tc>
        <w:tc>
          <w:tcPr>
            <w:tcW w:type="dxa" w:w="2154"/>
          </w:tcPr>
          <w:p>
            <w:r/>
            <w:r>
              <w:rPr>
                <w:sz w:val="19"/>
              </w:rPr>
              <w:t>Déjà en place (impression + CSV + HTML) — à muscler en PDF institutionnel</w:t>
            </w:r>
          </w:p>
        </w:tc>
        <w:tc>
          <w:tcPr>
            <w:tcW w:type="dxa" w:w="4649"/>
          </w:tcPr>
          <w:p>
            <w:r/>
            <w:r>
              <w:rPr>
                <w:sz w:val="19"/>
              </w:rPr>
              <w:t>Même remarque que pour Opérations : le rapport transmis en pilotage PS3 gagnerait une mise en page ANADER plutôt que l'impression brute du navigateur.</w:t>
            </w:r>
          </w:p>
        </w:tc>
      </w:tr>
      <w:tr>
        <w:tc>
          <w:tcPr>
            <w:tcW w:type="dxa" w:w="2268"/>
          </w:tcPr>
          <w:p>
            <w:r/>
            <w:r>
              <w:rPr>
                <w:sz w:val="19"/>
              </w:rPr>
              <w:t>Paramétrage</w:t>
            </w:r>
          </w:p>
        </w:tc>
        <w:tc>
          <w:tcPr>
            <w:tcW w:type="dxa" w:w="2154"/>
          </w:tcPr>
          <w:p>
            <w:r/>
            <w:r>
              <w:rPr>
                <w:sz w:val="19"/>
              </w:rPr>
              <w:t>Aucun</w:t>
            </w:r>
          </w:p>
        </w:tc>
        <w:tc>
          <w:tcPr>
            <w:tcW w:type="dxa" w:w="4649"/>
          </w:tcPr>
          <w:p>
            <w:r/>
            <w:r>
              <w:rPr>
                <w:sz w:val="19"/>
              </w:rPr>
              <w:t>Écran d'administration interne.</w:t>
            </w:r>
          </w:p>
        </w:tc>
      </w:tr>
    </w:tbl>
    <w:p>
      <w:pPr>
        <w:spacing w:after="80"/>
      </w:pPr>
    </w:p>
    <w:p>
      <w:pPr>
        <w:keepNext/>
        <w:spacing w:before="360" w:after="120"/>
        <w:pBdr>
          <w:bottom w:val="single" w:sz="6" w:color="2C4A63"/>
        </w:pBdr>
      </w:pPr>
      <w:r>
        <w:rPr>
          <w:b/>
          <w:color w:val="1B2F3F"/>
          <w:sz w:val="30"/>
        </w:rPr>
        <w:t>4. Priorisation proposée</w:t>
      </w:r>
    </w:p>
    <w:p>
      <w:pPr>
        <w:spacing w:after="160"/>
      </w:pPr>
      <w:r>
        <w:rPr>
          <w:i w:val="0"/>
        </w:rPr>
        <w:t>Trois chantiers ressortent, du plus rentable au plus accessoire :</w:t>
      </w:r>
    </w:p>
    <w:p>
      <w:pPr>
        <w:pStyle w:val="ListBullet"/>
        <w:spacing w:after="80"/>
      </w:pPr>
      <w:r>
        <w:t>Rattraper Courriers et Gestion de projet sur l'export CSV du registre — c'est le manque le plus concret et le plus vite comblé, sur le modèle déjà éprouvé dans Opérations et Contrats fournisseurs.</w:t>
      </w:r>
    </w:p>
    <w:p>
      <w:pPr>
        <w:pStyle w:val="ListBullet"/>
        <w:spacing w:after="80"/>
      </w:pPr>
      <w:r>
        <w:t>Ajouter l'export Excel du Budget (Gestion de projet) et de la Grille fournisseur (Contrats fournisseurs) — deux écrans à forte valeur d'analyse externe, aujourd'hui sans aucun export.</w:t>
      </w:r>
    </w:p>
    <w:p>
      <w:pPr>
        <w:pStyle w:val="ListBullet"/>
        <w:spacing w:after="80"/>
      </w:pPr>
      <w:r>
        <w:t>Faire évoluer les quatre rapports périodiques d'une impression navigateur brute vers un PDF avec mise en page institutionnelle ANADER (en-tête, pagination, pied de page) — un chantier commun aux quatre chambres plutôt que quatre chantiers séparés, à mener en une fois si validé.</w:t>
      </w:r>
    </w:p>
    <w:p>
      <w:pPr>
        <w:spacing w:after="80"/>
      </w:pPr>
      <w:r>
        <w:rPr>
          <w:i w:val="0"/>
        </w:rPr>
        <w:t>Le Planning visuel (Gestion de projet) en export PDF figé est une amélioration utile mais plus confortable qu'indispensable : à ne traiter qu'après les trois points ci-dessus.</w:t>
      </w:r>
    </w:p>
    <w:p>
      <w:pPr>
        <w:spacing w:after="160"/>
      </w:pPr>
      <w:r>
        <w:rPr>
          <w:i/>
        </w:rPr>
        <w:t>Aucun de ces chantiers ne modifie les données ou les droits d'usage existants : ce sont des ajouts de boutons de lecture seule, sans risque pour le registre en cours d'exploitation.</w:t>
      </w: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6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