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left w:val="none"/>
          <w:bottom w:val="none"/>
          <w:right w:val="none"/>
          <w:insideH w:val="none"/>
          <w:insideV w:val="none"/>
        </w:tblBorders>
      </w:tblPr>
      <w:tblGrid>
        <w:gridCol w:w="11906"/>
      </w:tblGrid>
      <w:tr>
        <w:trPr>
          <w:trHeight w:val="16838" w:hRule="atLeast"/>
        </w:trPr>
        <w:tc>
          <w:tcPr>
            <w:tcW w:type="dxa" w:w="11906"/>
            <w:shd w:fill="1B2F3F" w:color="auto" w:val="clear"/>
            <w:tcMar>
              <w:top w:type="dxa" w:w="1000"/>
              <w:left w:type="dxa" w:w="1276"/>
              <w:bottom w:type="dxa" w:w="1000"/>
              <w:right w:type="dxa" w:w="1276"/>
            </w:tcMar>
            <w:vAlign w:val="center"/>
          </w:tcPr>
          <w:p>
            <w:pPr>
              <w:spacing w:after="40"/>
              <w:jc w:val="center"/>
            </w:pPr>
            <w:r>
              <w:rPr>
                <w:rFonts w:ascii="Calibri" w:cs="Calibri" w:eastAsia="Calibri" w:hAnsi="Calibri"/>
                <w:b/>
                <w:bCs/>
                <w:color w:val="FFFFFF"/>
                <w:sz w:val="22"/>
                <w:szCs w:val="22"/>
              </w:rPr>
              <w:t xml:space="preserve">RÉPUBLIQUE DE CÔTE D'IVOIRE</w:t>
            </w:r>
          </w:p>
          <w:p>
            <w:pPr>
              <w:spacing w:after="40"/>
              <w:jc w:val="center"/>
            </w:pPr>
            <w:r>
              <w:rPr>
                <w:rFonts w:ascii="Calibri" w:cs="Calibri" w:eastAsia="Calibri" w:hAnsi="Calibri"/>
                <w:i/>
                <w:iCs/>
                <w:color w:val="DCE6EC"/>
                <w:sz w:val="18"/>
                <w:szCs w:val="18"/>
              </w:rPr>
              <w:t xml:space="preserve">Union — Discipline — Travail</w:t>
            </w:r>
          </w:p>
          <w:p>
            <w:pPr>
              <w:spacing w:after="900"/>
              <w:jc w:val="center"/>
            </w:pPr>
            <w:r>
              <w:rPr>
                <w:rFonts w:ascii="Calibri" w:cs="Calibri" w:eastAsia="Calibri" w:hAnsi="Calibri"/>
                <w:b/>
                <w:bCs/>
                <w:color w:val="FFFFFF"/>
                <w:sz w:val="20"/>
                <w:szCs w:val="20"/>
              </w:rPr>
              <w:t xml:space="preserve">AGENCE NATIONALE D'APPUI AU DÉVELOPPEMENT RURAL (ANADER)</w:t>
            </w:r>
          </w:p>
          <w:p>
            <w:pPr>
              <w:spacing w:after="200"/>
              <w:jc w:val="center"/>
            </w:pPr>
            <w:r>
              <w:rPr>
                <w:rFonts w:ascii="Calibri" w:cs="Calibri" w:eastAsia="Calibri" w:hAnsi="Calibri"/>
                <w:b/>
                <w:bCs/>
                <w:color w:val="FFFFFF"/>
                <w:sz w:val="52"/>
                <w:szCs w:val="52"/>
              </w:rPr>
              <w:t xml:space="preserve">MANUEL D'UTILISATION</w:t>
            </w:r>
          </w:p>
          <w:p>
            <w:pPr>
              <w:spacing w:after="100"/>
              <w:jc w:val="center"/>
            </w:pPr>
            <w:r>
              <w:rPr>
                <w:rFonts w:ascii="Calibri" w:cs="Calibri" w:eastAsia="Calibri" w:hAnsi="Calibri"/>
                <w:color w:val="FFFFFF"/>
                <w:sz w:val="26"/>
                <w:szCs w:val="26"/>
              </w:rPr>
              <w:t xml:space="preserve">Module « Gestion des contrats fournisseurs »</w:t>
            </w:r>
          </w:p>
          <w:p>
            <w:pPr>
              <w:spacing w:after="500"/>
              <w:jc w:val="center"/>
            </w:pPr>
            <w:r>
              <w:rPr>
                <w:rFonts w:ascii="Calibri" w:cs="Calibri" w:eastAsia="Calibri" w:hAnsi="Calibri"/>
                <w:color w:val="FFFFFF"/>
                <w:sz w:val="26"/>
                <w:szCs w:val="26"/>
              </w:rPr>
              <w:t xml:space="preserve">Plateforme D2MG Pilotage</w:t>
            </w:r>
          </w:p>
          <w:p>
            <w:pPr>
              <w:spacing w:after="500"/>
              <w:jc w:val="center"/>
            </w:pPr>
            <w:r>
              <w:rPr>
                <w:rFonts w:ascii="Calibri" w:cs="Calibri" w:eastAsia="Calibri" w:hAnsi="Calibri"/>
                <w:color w:val="FFFFFF"/>
              </w:rPr>
              <w:t xml:space="preserve">________________________________</w:t>
            </w:r>
          </w:p>
          <w:p>
            <w:pPr>
              <w:spacing w:after="900"/>
              <w:jc w:val="center"/>
            </w:pPr>
            <w:r>
              <w:rPr>
                <w:rFonts w:ascii="Calibri" w:cs="Calibri" w:eastAsia="Calibri" w:hAnsi="Calibri"/>
                <w:color w:val="DCE6EC"/>
                <w:sz w:val="20"/>
                <w:szCs w:val="20"/>
              </w:rPr>
              <w:t xml:space="preserve">Direction marchés et moyens généraux (D2MG)</w:t>
            </w:r>
          </w:p>
          <w:p>
            <w:pPr>
              <w:spacing w:after="1600"/>
              <w:jc w:val="center"/>
            </w:pPr>
            <w:r>
              <w:rPr>
                <w:rFonts w:ascii="Calibri" w:cs="Calibri" w:eastAsia="Calibri" w:hAnsi="Calibri"/>
                <w:color w:val="DCE6EC"/>
                <w:sz w:val="18"/>
                <w:szCs w:val="18"/>
              </w:rPr>
              <w:t xml:space="preserve">Version 1.0 — Septembre 2026</w:t>
            </w:r>
          </w:p>
          <w:p>
            <w:pPr>
              <w:spacing w:after="40"/>
              <w:jc w:val="center"/>
            </w:pPr>
            <w:r>
              <w:rPr>
                <w:rFonts w:ascii="Calibri" w:cs="Calibri" w:eastAsia="Calibri" w:hAnsi="Calibri"/>
                <w:color w:val="B7C4CC"/>
                <w:sz w:val="15"/>
                <w:szCs w:val="15"/>
              </w:rPr>
              <w:t xml:space="preserve">D2MG Pilotage — Plateforme numérique de la Direction marchés et moyens généraux</w:t>
            </w:r>
          </w:p>
          <w:p>
            <w:pPr>
              <w:jc w:val="center"/>
            </w:pPr>
            <w:r>
              <w:rPr>
                <w:rFonts w:ascii="Calibri" w:cs="Calibri" w:eastAsia="Calibri" w:hAnsi="Calibri"/>
                <w:color w:val="B7C4CC"/>
                <w:sz w:val="15"/>
                <w:szCs w:val="15"/>
              </w:rPr>
              <w:t xml:space="preserve">Document à usage interne — Direction marchés et moyens généraux (D2MG)</w:t>
            </w:r>
          </w:p>
        </w:tc>
      </w:tr>
    </w:tbl>
    <w:p>
      <w:pPr>
        <w:sectPr>
          <w:headerReference w:type="default" r:id="rId7"/>
          <w:footerReference w:type="default" r:id="rId8"/>
          <w:pgSz w:w="11906" w:h="16838" w:orient="portrait"/>
          <w:pgMar w:top="0" w:right="0" w:bottom="0" w:left="0" w:header="0" w:footer="0" w:gutter="0"/>
          <w:pgNumType/>
          <w:docGrid w:linePitch="360"/>
        </w:sectPr>
      </w:pPr>
    </w:p>
    <w:p>
      <w:pPr>
        <w:pStyle w:val="Heading1"/>
        <w:spacing w:after="300"/>
      </w:pPr>
      <w:r>
        <w:rPr>
          <w:rFonts w:ascii="Calibri" w:cs="Calibri" w:eastAsia="Calibri" w:hAnsi="Calibri"/>
          <w:b/>
          <w:bCs/>
          <w:color w:val="1B2F3F"/>
          <w:sz w:val="34"/>
          <w:szCs w:val="34"/>
        </w:rPr>
        <w:t xml:space="preserve">Sommaire</w:t>
      </w:r>
    </w:p>
    <w:p>
      <w:pPr>
        <w:tabs>
          <w:tab w:val="right" w:pos="9026" w:leader="dot"/>
        </w:tabs>
        <w:spacing w:after="140"/>
      </w:pPr>
      <w:r>
        <w:rPr>
          <w:rFonts w:ascii="Calibri" w:cs="Calibri" w:eastAsia="Calibri" w:hAnsi="Calibri"/>
          <w:b/>
          <w:bCs/>
          <w:color w:val="1B2F3F"/>
          <w:sz w:val="21"/>
          <w:szCs w:val="21"/>
        </w:rPr>
        <w:t xml:space="preserve">0. À propos de ce manuel</w:t>
      </w:r>
      <w:r>
        <w:rPr>
          <w:rFonts w:ascii="Calibri" w:cs="Calibri" w:eastAsia="Calibri" w:hAnsi="Calibri"/>
          <w:color w:val="1B2F3F"/>
          <w:sz w:val="21"/>
          <w:szCs w:val="21"/>
        </w:rPr>
        <w:t xml:space="preserve">	3</w:t>
      </w:r>
    </w:p>
    <w:p>
      <w:pPr>
        <w:tabs>
          <w:tab w:val="right" w:pos="9026" w:leader="dot"/>
        </w:tabs>
        <w:spacing w:after="140"/>
      </w:pPr>
      <w:r>
        <w:rPr>
          <w:rFonts w:ascii="Calibri" w:cs="Calibri" w:eastAsia="Calibri" w:hAnsi="Calibri"/>
          <w:b/>
          <w:bCs/>
          <w:color w:val="1B2F3F"/>
          <w:sz w:val="21"/>
          <w:szCs w:val="21"/>
        </w:rPr>
        <w:t xml:space="preserve">1. Se connecter et entrer dans la chambre</w:t>
      </w:r>
      <w:r>
        <w:rPr>
          <w:rFonts w:ascii="Calibri" w:cs="Calibri" w:eastAsia="Calibri" w:hAnsi="Calibri"/>
          <w:color w:val="1B2F3F"/>
          <w:sz w:val="21"/>
          <w:szCs w:val="21"/>
        </w:rPr>
        <w:t xml:space="preserve">	4</w:t>
      </w:r>
    </w:p>
    <w:p>
      <w:pPr>
        <w:tabs>
          <w:tab w:val="right" w:pos="9026" w:leader="dot"/>
        </w:tabs>
        <w:spacing w:after="140"/>
      </w:pPr>
      <w:r>
        <w:rPr>
          <w:rFonts w:ascii="Calibri" w:cs="Calibri" w:eastAsia="Calibri" w:hAnsi="Calibri"/>
          <w:b/>
          <w:bCs/>
          <w:color w:val="1B2F3F"/>
          <w:sz w:val="21"/>
          <w:szCs w:val="21"/>
        </w:rPr>
        <w:t xml:space="preserve">2. Consulter le tableau de bord</w:t>
      </w:r>
      <w:r>
        <w:rPr>
          <w:rFonts w:ascii="Calibri" w:cs="Calibri" w:eastAsia="Calibri" w:hAnsi="Calibri"/>
          <w:color w:val="1B2F3F"/>
          <w:sz w:val="21"/>
          <w:szCs w:val="21"/>
        </w:rPr>
        <w:t xml:space="preserve">	5</w:t>
      </w:r>
    </w:p>
    <w:p>
      <w:pPr>
        <w:tabs>
          <w:tab w:val="right" w:pos="9026" w:leader="dot"/>
        </w:tabs>
        <w:spacing w:after="140"/>
      </w:pPr>
      <w:r>
        <w:rPr>
          <w:rFonts w:ascii="Calibri" w:cs="Calibri" w:eastAsia="Calibri" w:hAnsi="Calibri"/>
          <w:b/>
          <w:bCs/>
          <w:color w:val="1B2F3F"/>
          <w:sz w:val="21"/>
          <w:szCs w:val="21"/>
        </w:rPr>
        <w:t xml:space="preserve">3. Enregistrer un contrat</w:t>
      </w:r>
      <w:r>
        <w:rPr>
          <w:rFonts w:ascii="Calibri" w:cs="Calibri" w:eastAsia="Calibri" w:hAnsi="Calibri"/>
          <w:color w:val="1B2F3F"/>
          <w:sz w:val="21"/>
          <w:szCs w:val="21"/>
        </w:rPr>
        <w:t xml:space="preserve">	6</w:t>
      </w:r>
    </w:p>
    <w:p>
      <w:pPr>
        <w:tabs>
          <w:tab w:val="right" w:pos="9026" w:leader="dot"/>
        </w:tabs>
        <w:spacing w:after="140"/>
      </w:pPr>
      <w:r>
        <w:rPr>
          <w:rFonts w:ascii="Calibri" w:cs="Calibri" w:eastAsia="Calibri" w:hAnsi="Calibri"/>
          <w:b/>
          <w:bCs/>
          <w:color w:val="1B2F3F"/>
          <w:sz w:val="21"/>
          <w:szCs w:val="21"/>
        </w:rPr>
        <w:t xml:space="preserve">4. Importer un contrat ou un bon de commande</w:t>
      </w:r>
      <w:r>
        <w:rPr>
          <w:rFonts w:ascii="Calibri" w:cs="Calibri" w:eastAsia="Calibri" w:hAnsi="Calibri"/>
          <w:color w:val="1B2F3F"/>
          <w:sz w:val="21"/>
          <w:szCs w:val="21"/>
        </w:rPr>
        <w:t xml:space="preserve">	7</w:t>
      </w:r>
    </w:p>
    <w:p>
      <w:pPr>
        <w:tabs>
          <w:tab w:val="right" w:pos="9026" w:leader="dot"/>
        </w:tabs>
        <w:spacing w:after="140"/>
      </w:pPr>
      <w:r>
        <w:rPr>
          <w:rFonts w:ascii="Calibri" w:cs="Calibri" w:eastAsia="Calibri" w:hAnsi="Calibri"/>
          <w:b/>
          <w:bCs/>
          <w:color w:val="1B2F3F"/>
          <w:sz w:val="21"/>
          <w:szCs w:val="21"/>
        </w:rPr>
        <w:t xml:space="preserve">5. Traiter les contrats à imputer</w:t>
      </w:r>
      <w:r>
        <w:rPr>
          <w:rFonts w:ascii="Calibri" w:cs="Calibri" w:eastAsia="Calibri" w:hAnsi="Calibri"/>
          <w:color w:val="1B2F3F"/>
          <w:sz w:val="21"/>
          <w:szCs w:val="21"/>
        </w:rPr>
        <w:t xml:space="preserve">	8</w:t>
      </w:r>
    </w:p>
    <w:p>
      <w:pPr>
        <w:tabs>
          <w:tab w:val="right" w:pos="9026" w:leader="dot"/>
        </w:tabs>
        <w:spacing w:after="140"/>
      </w:pPr>
      <w:r>
        <w:rPr>
          <w:rFonts w:ascii="Calibri" w:cs="Calibri" w:eastAsia="Calibri" w:hAnsi="Calibri"/>
          <w:b/>
          <w:bCs/>
          <w:color w:val="1B2F3F"/>
          <w:sz w:val="21"/>
          <w:szCs w:val="21"/>
        </w:rPr>
        <w:t xml:space="preserve">6. Suivre mes contrats</w:t>
      </w:r>
      <w:r>
        <w:rPr>
          <w:rFonts w:ascii="Calibri" w:cs="Calibri" w:eastAsia="Calibri" w:hAnsi="Calibri"/>
          <w:color w:val="1B2F3F"/>
          <w:sz w:val="21"/>
          <w:szCs w:val="21"/>
        </w:rPr>
        <w:t xml:space="preserve">	9</w:t>
      </w:r>
    </w:p>
    <w:p>
      <w:pPr>
        <w:tabs>
          <w:tab w:val="right" w:pos="9026" w:leader="dot"/>
        </w:tabs>
        <w:spacing w:after="140"/>
      </w:pPr>
      <w:r>
        <w:rPr>
          <w:rFonts w:ascii="Calibri" w:cs="Calibri" w:eastAsia="Calibri" w:hAnsi="Calibri"/>
          <w:b/>
          <w:bCs/>
          <w:color w:val="1B2F3F"/>
          <w:sz w:val="21"/>
          <w:szCs w:val="21"/>
        </w:rPr>
        <w:t xml:space="preserve">7. Suivre les échéances de préavis</w:t>
      </w:r>
      <w:r>
        <w:rPr>
          <w:rFonts w:ascii="Calibri" w:cs="Calibri" w:eastAsia="Calibri" w:hAnsi="Calibri"/>
          <w:color w:val="1B2F3F"/>
          <w:sz w:val="21"/>
          <w:szCs w:val="21"/>
        </w:rPr>
        <w:t xml:space="preserve">	10</w:t>
      </w:r>
    </w:p>
    <w:p>
      <w:pPr>
        <w:tabs>
          <w:tab w:val="right" w:pos="9026" w:leader="dot"/>
        </w:tabs>
        <w:spacing w:after="140"/>
      </w:pPr>
      <w:r>
        <w:rPr>
          <w:rFonts w:ascii="Calibri" w:cs="Calibri" w:eastAsia="Calibri" w:hAnsi="Calibri"/>
          <w:b/>
          <w:bCs/>
          <w:color w:val="1B2F3F"/>
          <w:sz w:val="21"/>
          <w:szCs w:val="21"/>
        </w:rPr>
        <w:t xml:space="preserve">8. Consulter le registre et la fiche d'un contrat</w:t>
      </w:r>
      <w:r>
        <w:rPr>
          <w:rFonts w:ascii="Calibri" w:cs="Calibri" w:eastAsia="Calibri" w:hAnsi="Calibri"/>
          <w:color w:val="1B2F3F"/>
          <w:sz w:val="21"/>
          <w:szCs w:val="21"/>
        </w:rPr>
        <w:t xml:space="preserve">	11</w:t>
      </w:r>
    </w:p>
    <w:p>
      <w:pPr>
        <w:tabs>
          <w:tab w:val="right" w:pos="9026" w:leader="dot"/>
        </w:tabs>
        <w:spacing w:after="140"/>
      </w:pPr>
      <w:r>
        <w:rPr>
          <w:rFonts w:ascii="Calibri" w:cs="Calibri" w:eastAsia="Calibri" w:hAnsi="Calibri"/>
          <w:b/>
          <w:bCs/>
          <w:color w:val="1B2F3F"/>
          <w:sz w:val="21"/>
          <w:szCs w:val="21"/>
        </w:rPr>
        <w:t xml:space="preserve">9. Gérer la grille fournisseur</w:t>
      </w:r>
      <w:r>
        <w:rPr>
          <w:rFonts w:ascii="Calibri" w:cs="Calibri" w:eastAsia="Calibri" w:hAnsi="Calibri"/>
          <w:color w:val="1B2F3F"/>
          <w:sz w:val="21"/>
          <w:szCs w:val="21"/>
        </w:rPr>
        <w:t xml:space="preserve">	12</w:t>
      </w:r>
    </w:p>
    <w:p>
      <w:pPr>
        <w:tabs>
          <w:tab w:val="right" w:pos="9026" w:leader="dot"/>
        </w:tabs>
        <w:spacing w:after="140"/>
      </w:pPr>
      <w:r>
        <w:rPr>
          <w:rFonts w:ascii="Calibri" w:cs="Calibri" w:eastAsia="Calibri" w:hAnsi="Calibri"/>
          <w:b/>
          <w:bCs/>
          <w:color w:val="1B2F3F"/>
          <w:sz w:val="21"/>
          <w:szCs w:val="21"/>
        </w:rPr>
        <w:t xml:space="preserve">10. Traiter les alertes &amp; relances</w:t>
      </w:r>
      <w:r>
        <w:rPr>
          <w:rFonts w:ascii="Calibri" w:cs="Calibri" w:eastAsia="Calibri" w:hAnsi="Calibri"/>
          <w:color w:val="1B2F3F"/>
          <w:sz w:val="21"/>
          <w:szCs w:val="21"/>
        </w:rPr>
        <w:t xml:space="preserve">	13</w:t>
      </w:r>
    </w:p>
    <w:p>
      <w:pPr>
        <w:tabs>
          <w:tab w:val="right" w:pos="9026" w:leader="dot"/>
        </w:tabs>
        <w:spacing w:after="140"/>
      </w:pPr>
      <w:r>
        <w:rPr>
          <w:rFonts w:ascii="Calibri" w:cs="Calibri" w:eastAsia="Calibri" w:hAnsi="Calibri"/>
          <w:b/>
          <w:bCs/>
          <w:color w:val="1B2F3F"/>
          <w:sz w:val="21"/>
          <w:szCs w:val="21"/>
        </w:rPr>
        <w:t xml:space="preserve">11. Tenir les revues périodiques</w:t>
      </w:r>
      <w:r>
        <w:rPr>
          <w:rFonts w:ascii="Calibri" w:cs="Calibri" w:eastAsia="Calibri" w:hAnsi="Calibri"/>
          <w:color w:val="1B2F3F"/>
          <w:sz w:val="21"/>
          <w:szCs w:val="21"/>
        </w:rPr>
        <w:t xml:space="preserve">	14</w:t>
      </w:r>
    </w:p>
    <w:p>
      <w:pPr>
        <w:tabs>
          <w:tab w:val="right" w:pos="9026" w:leader="dot"/>
        </w:tabs>
        <w:spacing w:after="140"/>
      </w:pPr>
      <w:r>
        <w:rPr>
          <w:rFonts w:ascii="Calibri" w:cs="Calibri" w:eastAsia="Calibri" w:hAnsi="Calibri"/>
          <w:b/>
          <w:bCs/>
          <w:color w:val="1B2F3F"/>
          <w:sz w:val="21"/>
          <w:szCs w:val="21"/>
        </w:rPr>
        <w:t xml:space="preserve">12. Générer les rapports</w:t>
      </w:r>
      <w:r>
        <w:rPr>
          <w:rFonts w:ascii="Calibri" w:cs="Calibri" w:eastAsia="Calibri" w:hAnsi="Calibri"/>
          <w:color w:val="1B2F3F"/>
          <w:sz w:val="21"/>
          <w:szCs w:val="21"/>
        </w:rPr>
        <w:t xml:space="preserve">	15</w:t>
      </w:r>
    </w:p>
    <w:p>
      <w:pPr>
        <w:tabs>
          <w:tab w:val="right" w:pos="9026" w:leader="dot"/>
        </w:tabs>
        <w:spacing w:after="140"/>
      </w:pPr>
      <w:r>
        <w:rPr>
          <w:rFonts w:ascii="Calibri" w:cs="Calibri" w:eastAsia="Calibri" w:hAnsi="Calibri"/>
          <w:b/>
          <w:bCs/>
          <w:color w:val="1B2F3F"/>
          <w:sz w:val="21"/>
          <w:szCs w:val="21"/>
        </w:rPr>
        <w:t xml:space="preserve">13. Paramétrer le module</w:t>
      </w:r>
      <w:r>
        <w:rPr>
          <w:rFonts w:ascii="Calibri" w:cs="Calibri" w:eastAsia="Calibri" w:hAnsi="Calibri"/>
          <w:color w:val="1B2F3F"/>
          <w:sz w:val="21"/>
          <w:szCs w:val="21"/>
        </w:rPr>
        <w:t xml:space="preserve">	16</w:t>
      </w:r>
    </w:p>
    <w:p>
      <w:pPr>
        <w:tabs>
          <w:tab w:val="right" w:pos="9026" w:leader="dot"/>
        </w:tabs>
        <w:spacing w:after="140"/>
      </w:pPr>
      <w:r>
        <w:rPr>
          <w:rFonts w:ascii="Calibri" w:cs="Calibri" w:eastAsia="Calibri" w:hAnsi="Calibri"/>
          <w:b/>
          <w:bCs/>
          <w:color w:val="1B2F3F"/>
          <w:sz w:val="21"/>
          <w:szCs w:val="21"/>
        </w:rPr>
        <w:t xml:space="preserve">14. S'appuyer sur le mode d'emploi intégré</w:t>
      </w:r>
      <w:r>
        <w:rPr>
          <w:rFonts w:ascii="Calibri" w:cs="Calibri" w:eastAsia="Calibri" w:hAnsi="Calibri"/>
          <w:color w:val="1B2F3F"/>
          <w:sz w:val="21"/>
          <w:szCs w:val="21"/>
        </w:rPr>
        <w:t xml:space="preserve">	17</w:t>
      </w:r>
    </w:p>
    <w:p>
      <w:pPr>
        <w:tabs>
          <w:tab w:val="right" w:pos="9026" w:leader="dot"/>
        </w:tabs>
        <w:spacing w:after="140"/>
      </w:pPr>
      <w:r>
        <w:rPr>
          <w:rFonts w:ascii="Calibri" w:cs="Calibri" w:eastAsia="Calibri" w:hAnsi="Calibri"/>
          <w:b/>
          <w:bCs/>
          <w:color w:val="1B2F3F"/>
          <w:sz w:val="21"/>
          <w:szCs w:val="21"/>
        </w:rPr>
        <w:t xml:space="preserve">15. Bonnes pratiques, droits d'usage et questions fréquentes</w:t>
      </w:r>
      <w:r>
        <w:rPr>
          <w:rFonts w:ascii="Calibri" w:cs="Calibri" w:eastAsia="Calibri" w:hAnsi="Calibri"/>
          <w:color w:val="1B2F3F"/>
          <w:sz w:val="21"/>
          <w:szCs w:val="21"/>
        </w:rPr>
        <w:t xml:space="preserve">	18</w:t>
      </w:r>
    </w:p>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0</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À propos de ce manuel</w:t>
            </w:r>
          </w:p>
          <w:p>
            <w:pPr>
              <w:spacing w:before="40"/>
            </w:pPr>
            <w:r>
              <w:rPr>
                <w:rFonts w:ascii="Calibri" w:cs="Calibri" w:eastAsia="Calibri" w:hAnsi="Calibri"/>
                <w:color w:val="DCE6EC"/>
                <w:sz w:val="18"/>
                <w:szCs w:val="18"/>
              </w:rPr>
              <w:t xml:space="preserve">Public visé, prérequis et logique de lecture</w:t>
            </w:r>
          </w:p>
        </w:tc>
      </w:tr>
    </w:tbl>
    <w:p>
      <w:pPr>
        <w:spacing w:after="160" w:before="240"/>
      </w:pPr>
    </w:p>
    <w:p>
      <w:pPr>
        <w:spacing w:after="160"/>
      </w:pPr>
      <w:r>
        <w:rPr>
          <w:rFonts w:ascii="Calibri" w:cs="Calibri" w:eastAsia="Calibri" w:hAnsi="Calibri"/>
          <w:b w:val="false"/>
          <w:bCs w:val="false"/>
          <w:color w:val="1F262A"/>
          <w:sz w:val="20"/>
          <w:szCs w:val="20"/>
        </w:rPr>
        <w:t xml:space="preserve">Ce manuel s'adresse à tout agent de la Direction marchés et moyens généraux (D2MG) amené à enregistrer, suivre, imputer, clôturer, arbitrer ou évaluer un contrat fournisseur dans la plateforme D2MG Pilotage. Il couvre le module « Gestion des contrats fournisseurs » dans son intégralité, de l'enregistrement d'un contrat jusqu'au rapport périodique destiné au pilotage du processus PS3.</w:t>
      </w:r>
    </w:p>
    <w:p>
      <w:pPr>
        <w:spacing w:after="160"/>
      </w:pPr>
      <w:r>
        <w:rPr>
          <w:rFonts w:ascii="Calibri" w:cs="Calibri" w:eastAsia="Calibri" w:hAnsi="Calibri"/>
          <w:b w:val="false"/>
          <w:bCs w:val="false"/>
          <w:color w:val="1F262A"/>
          <w:sz w:val="20"/>
          <w:szCs w:val="20"/>
        </w:rPr>
        <w:t xml:space="preserve">Chaque section suit la même logique : un objectif qui situe l'écran dans le cycle de vie d'un contrat, des étapes numérotées qui décrivent précisément ce qu'il faut faire, des points de vigilance qui préviennent les erreurs les plus fréquentes, et — lorsque c'est utile — un exemple concret construit à partir d'un cas réaliste traité pas à pas.</w:t>
      </w:r>
    </w:p>
    <w:p>
      <w:pPr>
        <w:spacing w:after="160"/>
      </w:pPr>
      <w:r>
        <w:rPr>
          <w:rFonts w:ascii="Calibri" w:cs="Calibri" w:eastAsia="Calibri" w:hAnsi="Calibri"/>
          <w:b w:val="false"/>
          <w:bCs w:val="false"/>
          <w:color w:val="1F262A"/>
          <w:sz w:val="20"/>
          <w:szCs w:val="20"/>
        </w:rPr>
        <w:t xml:space="preserve">Aucune connaissance informatique particulière n'est requise. Il suffit de savoir naviguer sur un site internet et de disposer d'un compte utilisateur actif, créé par le Directeur D2MG / Pilote depuis l'accueil D2MG Pilotage.</w:t>
      </w:r>
    </w:p>
    <w:p>
      <w:pPr>
        <w:spacing w:after="140"/>
      </w:pPr>
      <w:r>
        <w:rPr>
          <w:rFonts w:ascii="Calibri" w:cs="Calibri" w:eastAsia="Calibri" w:hAnsi="Calibri"/>
          <w:b/>
          <w:bCs/>
          <w:color w:val="1F262A"/>
          <w:sz w:val="22"/>
          <w:szCs w:val="22"/>
        </w:rPr>
        <w:t xml:space="preserve">Comment lire les encadrés</w:t>
      </w:r>
    </w:p>
    <w:tbl>
      <w:tblPr>
        <w:tblW w:type="dxa" w:w="9360"/>
        <w:tblBorders>
          <w:top w:val="single" w:color="DDE3E7" w:sz="2"/>
          <w:left w:val="single" w:color="DDE3E7" w:sz="2"/>
          <w:bottom w:val="single" w:color="DDE3E7" w:sz="2"/>
          <w:right w:val="single" w:color="DDE3E7" w:sz="2"/>
          <w:insideH w:val="single" w:color="DDE3E7" w:sz="2"/>
          <w:insideV w:val="single" w:color="DDE3E7" w:sz="2"/>
        </w:tblBorders>
      </w:tblPr>
      <w:tblGrid>
        <w:gridCol w:w="2400"/>
        <w:gridCol w:w="6960"/>
      </w:tblGrid>
      <w:tr>
        <w:tc>
          <w:tcPr>
            <w:tcW w:type="dxa" w:w="2400"/>
            <w:tcMar>
              <w:top w:type="dxa" w:w="100"/>
              <w:left w:type="dxa" w:w="140"/>
              <w:bottom w:type="dxa" w:w="100"/>
              <w:right w:type="dxa" w:w="140"/>
            </w:tcMar>
          </w:tcPr>
          <w:p>
            <w:pPr>
              <w:spacing w:after="0"/>
            </w:pPr>
            <w:r>
              <w:rPr>
                <w:rFonts w:ascii="Calibri" w:cs="Calibri" w:eastAsia="Calibri" w:hAnsi="Calibri"/>
                <w:b/>
                <w:bCs/>
                <w:color w:val="1F262A"/>
                <w:sz w:val="18"/>
                <w:szCs w:val="18"/>
              </w:rPr>
              <w:t xml:space="preserve">OBJECTIF</w:t>
            </w:r>
          </w:p>
        </w:tc>
        <w:tc>
          <w:tcPr>
            <w:tcW w:type="dxa" w:w="6960"/>
            <w:tcMar>
              <w:top w:type="dxa" w:w="100"/>
              <w:left w:type="dxa" w:w="140"/>
              <w:bottom w:type="dxa" w:w="100"/>
              <w:right w:type="dxa" w:w="140"/>
            </w:tcMar>
          </w:tcPr>
          <w:p>
            <w:pPr>
              <w:spacing w:after="0"/>
            </w:pPr>
            <w:r>
              <w:rPr>
                <w:rFonts w:ascii="Calibri" w:cs="Calibri" w:eastAsia="Calibri" w:hAnsi="Calibri"/>
                <w:b w:val="false"/>
                <w:bCs w:val="false"/>
                <w:color w:val="1F262A"/>
                <w:sz w:val="18"/>
                <w:szCs w:val="18"/>
              </w:rPr>
              <w:t xml:space="preserve">Ce que l'écran permet de faire et pourquoi il existe dans le pilotage des contrats fournisseurs.</w:t>
            </w:r>
          </w:p>
        </w:tc>
      </w:tr>
      <w:tr>
        <w:tc>
          <w:tcPr>
            <w:tcW w:type="dxa" w:w="2400"/>
            <w:tcMar>
              <w:top w:type="dxa" w:w="100"/>
              <w:left w:type="dxa" w:w="140"/>
              <w:bottom w:type="dxa" w:w="100"/>
              <w:right w:type="dxa" w:w="140"/>
            </w:tcMar>
          </w:tcPr>
          <w:p>
            <w:pPr>
              <w:spacing w:after="0"/>
            </w:pPr>
            <w:r>
              <w:rPr>
                <w:rFonts w:ascii="Calibri" w:cs="Calibri" w:eastAsia="Calibri" w:hAnsi="Calibri"/>
                <w:b/>
                <w:bCs/>
                <w:color w:val="1F262A"/>
                <w:sz w:val="18"/>
                <w:szCs w:val="18"/>
              </w:rPr>
              <w:t xml:space="preserve">POINTS DE VIGILANCE</w:t>
            </w:r>
          </w:p>
        </w:tc>
        <w:tc>
          <w:tcPr>
            <w:tcW w:type="dxa" w:w="6960"/>
            <w:tcMar>
              <w:top w:type="dxa" w:w="100"/>
              <w:left w:type="dxa" w:w="140"/>
              <w:bottom w:type="dxa" w:w="100"/>
              <w:right w:type="dxa" w:w="140"/>
            </w:tcMar>
          </w:tcPr>
          <w:p>
            <w:pPr>
              <w:spacing w:after="0"/>
            </w:pPr>
            <w:r>
              <w:rPr>
                <w:rFonts w:ascii="Calibri" w:cs="Calibri" w:eastAsia="Calibri" w:hAnsi="Calibri"/>
                <w:b w:val="false"/>
                <w:bCs w:val="false"/>
                <w:color w:val="1F262A"/>
                <w:sz w:val="18"/>
                <w:szCs w:val="18"/>
              </w:rPr>
              <w:t xml:space="preserve">Erreurs fréquentes, règles de gestion à respecter, conséquences d'un mauvais usage.</w:t>
            </w:r>
          </w:p>
        </w:tc>
      </w:tr>
      <w:tr>
        <w:tc>
          <w:tcPr>
            <w:tcW w:type="dxa" w:w="2400"/>
            <w:tcMar>
              <w:top w:type="dxa" w:w="100"/>
              <w:left w:type="dxa" w:w="140"/>
              <w:bottom w:type="dxa" w:w="100"/>
              <w:right w:type="dxa" w:w="140"/>
            </w:tcMar>
          </w:tcPr>
          <w:p>
            <w:pPr>
              <w:spacing w:after="0"/>
            </w:pPr>
            <w:r>
              <w:rPr>
                <w:rFonts w:ascii="Calibri" w:cs="Calibri" w:eastAsia="Calibri" w:hAnsi="Calibri"/>
                <w:b/>
                <w:bCs/>
                <w:color w:val="1F262A"/>
                <w:sz w:val="18"/>
                <w:szCs w:val="18"/>
              </w:rPr>
              <w:t xml:space="preserve">EXEMPLE CONCRET</w:t>
            </w:r>
          </w:p>
        </w:tc>
        <w:tc>
          <w:tcPr>
            <w:tcW w:type="dxa" w:w="6960"/>
            <w:tcMar>
              <w:top w:type="dxa" w:w="100"/>
              <w:left w:type="dxa" w:w="140"/>
              <w:bottom w:type="dxa" w:w="100"/>
              <w:right w:type="dxa" w:w="140"/>
            </w:tcMar>
          </w:tcPr>
          <w:p>
            <w:pPr>
              <w:spacing w:after="0"/>
            </w:pPr>
            <w:r>
              <w:rPr>
                <w:rFonts w:ascii="Calibri" w:cs="Calibri" w:eastAsia="Calibri" w:hAnsi="Calibri"/>
                <w:b w:val="false"/>
                <w:bCs w:val="false"/>
                <w:color w:val="1F262A"/>
                <w:sz w:val="18"/>
                <w:szCs w:val="18"/>
              </w:rPr>
              <w:t xml:space="preserve">Mise en situation réelle, avec des données représentatives, traitée pas à pas.</w:t>
            </w:r>
          </w:p>
        </w:tc>
      </w:tr>
    </w:tbl>
    <w:p>
      <w:pPr>
        <w:spacing w:after="160" w:before="160"/>
      </w:pPr>
    </w:p>
    <w:p>
      <w:pPr>
        <w:spacing w:after="140"/>
      </w:pPr>
      <w:r>
        <w:rPr>
          <w:rFonts w:ascii="Calibri" w:cs="Calibri" w:eastAsia="Calibri" w:hAnsi="Calibri"/>
          <w:b/>
          <w:bCs/>
          <w:color w:val="1F262A"/>
          <w:sz w:val="22"/>
          <w:szCs w:val="22"/>
        </w:rPr>
        <w:t xml:space="preserve">Une édition sans capture d'écran</w:t>
      </w:r>
    </w:p>
    <w:p>
      <w:pPr>
        <w:spacing w:after="160"/>
      </w:pPr>
      <w:r>
        <w:rPr>
          <w:rFonts w:ascii="Calibri" w:cs="Calibri" w:eastAsia="Calibri" w:hAnsi="Calibri"/>
          <w:b w:val="false"/>
          <w:bCs w:val="false"/>
          <w:color w:val="1F262A"/>
          <w:sz w:val="20"/>
          <w:szCs w:val="20"/>
        </w:rPr>
        <w:t xml:space="preserve">Cette première édition décrit précisément chaque écran, ses champs et ses actions, mais ne comporte pas encore de captures d'écran réelles de l'application : le module vient d'entrer en service en ligne. Une prochaine édition les ajoutera. En attendant, le mode d'emploi intégré à l'application (menu « Mode d'emploi ») reste la référence la plus à jour, avec vos propres droits d'usage recalculés en direct.</w:t>
      </w:r>
    </w:p>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Se connecter et entrer dans la chambre</w:t>
            </w:r>
          </w:p>
          <w:p>
            <w:pPr>
              <w:spacing w:before="40"/>
            </w:pPr>
            <w:r>
              <w:rPr>
                <w:rFonts w:ascii="Calibri" w:cs="Calibri" w:eastAsia="Calibri" w:hAnsi="Calibri"/>
                <w:color w:val="DCE6EC"/>
                <w:sz w:val="18"/>
                <w:szCs w:val="18"/>
              </w:rPr>
              <w:t xml:space="preserve">Le portail D2MG Pilotage et la chambre « Gestion des contrats fournisseurs »</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Accéder au portail D2MG Pilotage avec votre compte personnel, puis entrer dans la chambre « Gestion des contrats fournisseurs (D2MG) » depuis le Salon d'accueil.</w:t>
            </w:r>
          </w:p>
        </w:tc>
      </w:tr>
    </w:tbl>
    <w:p>
      <w:pPr>
        <w:spacing w:after="160"/>
      </w:pPr>
    </w:p>
    <w:p>
      <w:pPr>
        <w:spacing w:after="160"/>
      </w:pPr>
      <w:r>
        <w:rPr>
          <w:rFonts w:ascii="Calibri" w:cs="Calibri" w:eastAsia="Calibri" w:hAnsi="Calibri"/>
          <w:b/>
          <w:bCs/>
          <w:color w:val="1F262A"/>
          <w:sz w:val="21"/>
          <w:szCs w:val="21"/>
        </w:rPr>
        <w:t xml:space="preserve">Étape 1 — Ouvrir le portail</w:t>
      </w:r>
    </w:p>
    <w:p>
      <w:pPr>
        <w:spacing w:after="160"/>
      </w:pPr>
      <w:r>
        <w:rPr>
          <w:rFonts w:ascii="Calibri" w:cs="Calibri" w:eastAsia="Calibri" w:hAnsi="Calibri"/>
          <w:b w:val="false"/>
          <w:bCs w:val="false"/>
          <w:color w:val="1F262A"/>
          <w:sz w:val="20"/>
          <w:szCs w:val="20"/>
        </w:rPr>
        <w:t xml:space="preserve">Depuis votre navigateur, ouvrez l'adresse de la plateforme D2MG Pilotage transmise par votre administrateur. Connectez-vous avec l'adresse e-mail et le mot de passe associés à votre compte D2MG Pilotage — le même compte que celui utilisé pour PS3, Gestion de projet, Gestion des courriers et Gestion des opérations.</w:t>
      </w:r>
    </w:p>
    <w:p>
      <w:pPr>
        <w:spacing w:after="160"/>
      </w:pPr>
      <w:r>
        <w:rPr>
          <w:rFonts w:ascii="Calibri" w:cs="Calibri" w:eastAsia="Calibri" w:hAnsi="Calibri"/>
          <w:b/>
          <w:bCs/>
          <w:color w:val="1F262A"/>
          <w:sz w:val="21"/>
          <w:szCs w:val="21"/>
        </w:rPr>
        <w:t xml:space="preserve">Étape 2 — Repérer les chambres</w:t>
      </w:r>
    </w:p>
    <w:p>
      <w:pPr>
        <w:spacing w:after="160"/>
      </w:pPr>
      <w:r>
        <w:rPr>
          <w:rFonts w:ascii="Calibri" w:cs="Calibri" w:eastAsia="Calibri" w:hAnsi="Calibri"/>
          <w:b w:val="false"/>
          <w:bCs w:val="false"/>
          <w:color w:val="1F262A"/>
          <w:sz w:val="20"/>
          <w:szCs w:val="20"/>
        </w:rPr>
        <w:t xml:space="preserve">Une fois connecté, le Salon affiche les chambres auxquelles vous avez accès. Repérez le bloc « Gestion des contrats fournisseurs ».</w:t>
      </w:r>
    </w:p>
    <w:p>
      <w:pPr>
        <w:spacing w:after="160"/>
      </w:pPr>
      <w:r>
        <w:rPr>
          <w:rFonts w:ascii="Calibri" w:cs="Calibri" w:eastAsia="Calibri" w:hAnsi="Calibri"/>
          <w:b/>
          <w:bCs/>
          <w:color w:val="1F262A"/>
          <w:sz w:val="21"/>
          <w:szCs w:val="21"/>
        </w:rPr>
        <w:t xml:space="preserve">Étape 3 — Entrer dans la chambre</w:t>
      </w:r>
    </w:p>
    <w:p>
      <w:pPr>
        <w:spacing w:after="160"/>
      </w:pPr>
      <w:r>
        <w:rPr>
          <w:rFonts w:ascii="Calibri" w:cs="Calibri" w:eastAsia="Calibri" w:hAnsi="Calibri"/>
          <w:b w:val="false"/>
          <w:bCs w:val="false"/>
          <w:color w:val="1F262A"/>
          <w:sz w:val="20"/>
          <w:szCs w:val="20"/>
        </w:rPr>
        <w:t xml:space="preserve">Cliquez sur « Entrer dans l'espace → » sous ce bloc. Vous arrivez directement sur le Tableau de bord du module.</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Si la chambre « Gestion des contrats fournisseurs » n'apparaît pas dans votre Salon, votre compte n'a pas encore reçu d'accès à ce module : contactez le Directeur D2MG / Pilote de la plateforme.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 mot de passe oublié se réinitialise depuis l'écran de connexion (« Mot de passe oublié ? »), avant de vous connecter.</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bouton « Se déconnecter », visible en bas de la bande latérale, ramène directement au Salon.</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2</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Consulter le tableau de bord</w:t>
            </w:r>
          </w:p>
          <w:p>
            <w:pPr>
              <w:spacing w:before="40"/>
            </w:pPr>
            <w:r>
              <w:rPr>
                <w:rFonts w:ascii="Calibri" w:cs="Calibri" w:eastAsia="Calibri" w:hAnsi="Calibri"/>
                <w:color w:val="DCE6EC"/>
                <w:sz w:val="18"/>
                <w:szCs w:val="18"/>
              </w:rPr>
              <w:t xml:space="preserve">Vue d'ensemble du portefeuille de contrats</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Obtenir en un coup d'œil l'état du portefeuille de contrats de la D2MG : contrats actifs, contrats en retard de préavis, montant total engagé, répartition par nature et score fournisseur moyen.</w:t>
            </w:r>
          </w:p>
        </w:tc>
      </w:tr>
    </w:tbl>
    <w:p>
      <w:pPr>
        <w:spacing w:after="160"/>
      </w:pPr>
    </w:p>
    <w:p>
      <w:pPr>
        <w:spacing w:after="160"/>
      </w:pPr>
      <w:r>
        <w:rPr>
          <w:rFonts w:ascii="Calibri" w:cs="Calibri" w:eastAsia="Calibri" w:hAnsi="Calibri"/>
          <w:b w:val="false"/>
          <w:bCs w:val="false"/>
          <w:color w:val="1F262A"/>
          <w:sz w:val="20"/>
          <w:szCs w:val="20"/>
        </w:rPr>
        <w:t xml:space="preserve">Les indicateurs de synthèse en haut de l'écran donnent le nombre de contrats actifs, le nombre de contrats en retard de préavis et le montant total engagé. En dessous, la répartition par nature de contrat et le calendrier des échéances des prochains jours permettent de voir venir les décisions à prendre avant qu'elles ne deviennent urgentes.</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tableau de bord reflète les droits d'usage de votre compte : un profil ne voyant que ses propres contrats (droit ctr.voirMien) obtient un tableau de bord limité à ce même périmètre.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 contrat encore au statut Brouillon n'est pas compté comme actif tant qu'il n'a pas été signé.</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3</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Enregistrer un contrat</w:t>
            </w:r>
          </w:p>
          <w:p>
            <w:pPr>
              <w:spacing w:before="40"/>
            </w:pPr>
            <w:r>
              <w:rPr>
                <w:rFonts w:ascii="Calibri" w:cs="Calibri" w:eastAsia="Calibri" w:hAnsi="Calibri"/>
                <w:color w:val="DCE6EC"/>
                <w:sz w:val="18"/>
                <w:szCs w:val="18"/>
              </w:rPr>
              <w:t xml:space="preserve">Saisie manuelle, avec échéance de préavis calculée en direct</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Créer un nouveau contrat dans le registre par saisie manuelle : fournisseur, nature, dates, montant, régime contractuel et criticité.</w:t>
            </w:r>
          </w:p>
        </w:tc>
      </w:tr>
    </w:tbl>
    <w:p>
      <w:pPr>
        <w:spacing w:after="160"/>
      </w:pPr>
    </w:p>
    <w:p>
      <w:pPr>
        <w:spacing w:after="160"/>
      </w:pPr>
      <w:r>
        <w:rPr>
          <w:rFonts w:ascii="Calibri" w:cs="Calibri" w:eastAsia="Calibri" w:hAnsi="Calibri"/>
          <w:b/>
          <w:bCs/>
          <w:color w:val="1F262A"/>
          <w:sz w:val="21"/>
          <w:szCs w:val="21"/>
        </w:rPr>
        <w:t xml:space="preserve">Étape 1 — Choisir le fournisseur</w:t>
      </w:r>
    </w:p>
    <w:p>
      <w:pPr>
        <w:spacing w:after="160"/>
      </w:pPr>
      <w:r>
        <w:rPr>
          <w:rFonts w:ascii="Calibri" w:cs="Calibri" w:eastAsia="Calibri" w:hAnsi="Calibri"/>
          <w:b w:val="false"/>
          <w:bCs w:val="false"/>
          <w:color w:val="1F262A"/>
          <w:sz w:val="20"/>
          <w:szCs w:val="20"/>
        </w:rPr>
        <w:t xml:space="preserve">Recherchez le fournisseur dans le référentiel, ou ajoutez-le s'il n'y figure pas encore (voir section 9 — Gérer la grille fournisseur).</w:t>
      </w:r>
    </w:p>
    <w:p>
      <w:pPr>
        <w:spacing w:after="160"/>
      </w:pPr>
      <w:r>
        <w:rPr>
          <w:rFonts w:ascii="Calibri" w:cs="Calibri" w:eastAsia="Calibri" w:hAnsi="Calibri"/>
          <w:b/>
          <w:bCs/>
          <w:color w:val="1F262A"/>
          <w:sz w:val="21"/>
          <w:szCs w:val="21"/>
        </w:rPr>
        <w:t xml:space="preserve">Étape 2 — Renseigner la nature du contrat</w:t>
      </w:r>
    </w:p>
    <w:p>
      <w:pPr>
        <w:spacing w:after="160"/>
      </w:pPr>
      <w:r>
        <w:rPr>
          <w:rFonts w:ascii="Calibri" w:cs="Calibri" w:eastAsia="Calibri" w:hAnsi="Calibri"/>
          <w:b w:val="false"/>
          <w:bCs w:val="false"/>
          <w:color w:val="1F262A"/>
          <w:sz w:val="20"/>
          <w:szCs w:val="20"/>
        </w:rPr>
        <w:t xml:space="preserve">La nature détermine automatiquement le délai de préavis applicable — par exemple 90 jours pour une location, 60 jours pour un accord-cadre, 15 jours pour une fourniture ponctuelle. Cette grille est réglable dans Paramétrage.</w:t>
      </w:r>
    </w:p>
    <w:p>
      <w:pPr>
        <w:spacing w:after="160"/>
      </w:pPr>
      <w:r>
        <w:rPr>
          <w:rFonts w:ascii="Calibri" w:cs="Calibri" w:eastAsia="Calibri" w:hAnsi="Calibri"/>
          <w:b/>
          <w:bCs/>
          <w:color w:val="1F262A"/>
          <w:sz w:val="21"/>
          <w:szCs w:val="21"/>
        </w:rPr>
        <w:t xml:space="preserve">Étape 3 — Vérifier l'échéance de préavis calculée</w:t>
      </w:r>
    </w:p>
    <w:p>
      <w:pPr>
        <w:spacing w:after="160"/>
      </w:pPr>
      <w:r>
        <w:rPr>
          <w:rFonts w:ascii="Calibri" w:cs="Calibri" w:eastAsia="Calibri" w:hAnsi="Calibri"/>
          <w:b w:val="false"/>
          <w:bCs w:val="false"/>
          <w:color w:val="1F262A"/>
          <w:sz w:val="20"/>
          <w:szCs w:val="20"/>
        </w:rPr>
        <w:t xml:space="preserve">Dès que vous renseignez la date de fin du contrat, l'écran calcule et affiche sous vos yeux la date limite de préavis, avant même que vous validiez la fiche.</w:t>
      </w:r>
    </w:p>
    <w:p>
      <w:pPr>
        <w:spacing w:after="160"/>
      </w:pPr>
      <w:r>
        <w:rPr>
          <w:rFonts w:ascii="Calibri" w:cs="Calibri" w:eastAsia="Calibri" w:hAnsi="Calibri"/>
          <w:b/>
          <w:bCs/>
          <w:color w:val="1F262A"/>
          <w:sz w:val="21"/>
          <w:szCs w:val="21"/>
        </w:rPr>
        <w:t xml:space="preserve">Étape 4 — Choisir le régime contractuel</w:t>
      </w:r>
    </w:p>
    <w:p>
      <w:pPr>
        <w:spacing w:after="160"/>
      </w:pPr>
      <w:r>
        <w:rPr>
          <w:rFonts w:ascii="Calibri" w:cs="Calibri" w:eastAsia="Calibri" w:hAnsi="Calibri"/>
          <w:b w:val="false"/>
          <w:bCs w:val="false"/>
          <w:color w:val="1F262A"/>
          <w:sz w:val="20"/>
          <w:szCs w:val="20"/>
        </w:rPr>
        <w:t xml:space="preserve">Marché public, procédure simplifiée, convention entre entités assujetties, contrat privé, financement bailleur ou dérogation au Code des marchés publics. Ce choix conditionne les règles de gestion applicables (plafond des avenants, garanties de bonne exécution).</w:t>
      </w:r>
    </w:p>
    <w:tbl>
      <w:tblPr>
        <w:tblW w:type="dxa" w:w="9360"/>
        <w:tblBorders>
          <w:top w:val="none"/>
          <w:left w:val="none"/>
          <w:bottom w:val="none"/>
          <w:right w:val="none"/>
          <w:insideH w:val="none"/>
          <w:insideV w:val="none"/>
        </w:tblBorders>
      </w:tblPr>
      <w:tblGrid>
        <w:gridCol w:w="9360"/>
      </w:tblGrid>
      <w:tr>
        <w:tc>
          <w:tcPr>
            <w:tcW w:type="dxa" w:w="9360"/>
            <w:tcBorders>
              <w:top w:val="single" w:color="F4F6F7" w:sz="2"/>
              <w:left w:val="single" w:color="2C4A63" w:sz="24"/>
              <w:bottom w:val="single" w:color="F4F6F7" w:sz="2"/>
              <w:right w:val="single" w:color="F4F6F7" w:sz="2"/>
            </w:tcBorders>
            <w:shd w:fill="F4F6F7"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EXEMPLE CONCRET</w:t>
            </w:r>
          </w:p>
          <w:p>
            <w:r>
              <w:rPr>
                <w:rFonts w:ascii="Calibri" w:cs="Calibri" w:eastAsia="Calibri" w:hAnsi="Calibri"/>
                <w:i/>
                <w:iCs/>
                <w:color w:val="1F262A"/>
                <w:sz w:val="20"/>
                <w:szCs w:val="20"/>
              </w:rPr>
              <w:t xml:space="preserve">Un accord-cadre de fourniture de carburant est signé le 5 janvier pour 12 mois, jusqu'au 4 janvier de l'année suivante. La nature « Abonnement » appliquant un préavis de 30 jours, l'écran affiche automatiquement une échéance de préavis au 5 décembre : c'est la date à partir de laquelle il faut avoir statué — reconduction, renégociation ou résiliation.</w:t>
            </w:r>
          </w:p>
        </w:tc>
      </w:tr>
    </w:tbl>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 contrat enregistré sans propriétaire (acheteur responsable) apparaît dans l'écran « À imputer » : il doit être affecté avant de pouvoir être suivi activement.</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La criticité (Critique / Normale / Mineure) influence la sévérité des alertes de préavis : un contrat critique est signalé plus tôt.</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motif de dérogation est obligatoire dès que le régime contractuel choisi est « Dérogation au Code des marchés publics ».</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4</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Importer un contrat ou un bon de commande</w:t>
            </w:r>
          </w:p>
          <w:p>
            <w:pPr>
              <w:spacing w:before="40"/>
            </w:pPr>
            <w:r>
              <w:rPr>
                <w:rFonts w:ascii="Calibri" w:cs="Calibri" w:eastAsia="Calibri" w:hAnsi="Calibri"/>
                <w:color w:val="DCE6EC"/>
                <w:sz w:val="18"/>
                <w:szCs w:val="18"/>
              </w:rPr>
              <w:t xml:space="preserve">Import CSV en masse, ou extraction automatique depuis un document</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Accélérer la saisie : import de masse depuis un gabarit CSV, ou extraction automatique des champs clés à partir d'un document texte (contrat scanné ou bon de commande).</w:t>
            </w:r>
          </w:p>
        </w:tc>
      </w:tr>
    </w:tbl>
    <w:p>
      <w:pPr>
        <w:spacing w:after="160"/>
      </w:pPr>
    </w:p>
    <w:p>
      <w:pPr>
        <w:spacing w:after="160"/>
      </w:pPr>
      <w:r>
        <w:rPr>
          <w:rFonts w:ascii="Calibri" w:cs="Calibri" w:eastAsia="Calibri" w:hAnsi="Calibri"/>
          <w:b/>
          <w:bCs/>
          <w:color w:val="1F262A"/>
          <w:sz w:val="21"/>
          <w:szCs w:val="21"/>
        </w:rPr>
        <w:t xml:space="preserve">Étape 1 — Choisir le mode d'import</w:t>
      </w:r>
    </w:p>
    <w:p>
      <w:pPr>
        <w:spacing w:after="160"/>
      </w:pPr>
      <w:r>
        <w:rPr>
          <w:rFonts w:ascii="Calibri" w:cs="Calibri" w:eastAsia="Calibri" w:hAnsi="Calibri"/>
          <w:b w:val="false"/>
          <w:bCs w:val="false"/>
          <w:color w:val="1F262A"/>
          <w:sz w:val="20"/>
          <w:szCs w:val="20"/>
        </w:rPr>
        <w:t xml:space="preserve">« Depuis un gabarit CSV » pour plusieurs contrats d'un coup, ou « Depuis un document » pour extraire automatiquement objet, fournisseur, dates et montant d'un contrat au format texte sélectionnable.</w:t>
      </w:r>
    </w:p>
    <w:p>
      <w:pPr>
        <w:spacing w:after="160"/>
      </w:pPr>
      <w:r>
        <w:rPr>
          <w:rFonts w:ascii="Calibri" w:cs="Calibri" w:eastAsia="Calibri" w:hAnsi="Calibri"/>
          <w:b/>
          <w:bCs/>
          <w:color w:val="1F262A"/>
          <w:sz w:val="21"/>
          <w:szCs w:val="21"/>
        </w:rPr>
        <w:t xml:space="preserve">Étape 2 — Vérifier l'aperçu avant validation</w:t>
      </w:r>
    </w:p>
    <w:p>
      <w:pPr>
        <w:spacing w:after="160"/>
      </w:pPr>
      <w:r>
        <w:rPr>
          <w:rFonts w:ascii="Calibri" w:cs="Calibri" w:eastAsia="Calibri" w:hAnsi="Calibri"/>
          <w:b w:val="false"/>
          <w:bCs w:val="false"/>
          <w:color w:val="1F262A"/>
          <w:sz w:val="20"/>
          <w:szCs w:val="20"/>
        </w:rPr>
        <w:t xml:space="preserve">Chaque ligne (CSV) ou chaque champ extrait (document) est présenté en aperçu avec son statut, valide ou en erreur, et le détail de l'erreur le cas échéant. Rien n'est enregistré tant que vous n'avez pas validé l'aperçu.</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Limite assumée : un document scanné en image sans texte sélectionnable ne peut pas être lu automatiquement — passez alors par la saisie manuelle (section 3).</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Une ligne CSV en erreur (fournisseur inconnu, date invalide, nature non reconnue) est signalée mais n'empêche pas l'import des autres lignes valides du même fichier.</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5</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Traiter les contrats à imputer</w:t>
            </w:r>
          </w:p>
          <w:p>
            <w:pPr>
              <w:spacing w:before="40"/>
            </w:pPr>
            <w:r>
              <w:rPr>
                <w:rFonts w:ascii="Calibri" w:cs="Calibri" w:eastAsia="Calibri" w:hAnsi="Calibri"/>
                <w:color w:val="DCE6EC"/>
                <w:sz w:val="18"/>
                <w:szCs w:val="18"/>
              </w:rPr>
              <w:t xml:space="preserve">Affecter un acheteur responsable avant le suivi actif</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Affecter à un acheteur responsable les contrats enregistrés ou importés sans propriétaire, avant qu'ils puissent entrer en suivi actif.</w:t>
            </w:r>
          </w:p>
        </w:tc>
      </w:tr>
    </w:tbl>
    <w:p>
      <w:pPr>
        <w:spacing w:after="160"/>
      </w:pPr>
    </w:p>
    <w:p>
      <w:pPr>
        <w:spacing w:after="160"/>
      </w:pPr>
      <w:r>
        <w:rPr>
          <w:rFonts w:ascii="Calibri" w:cs="Calibri" w:eastAsia="Calibri" w:hAnsi="Calibri"/>
          <w:b w:val="false"/>
          <w:bCs w:val="false"/>
          <w:color w:val="1F262A"/>
          <w:sz w:val="20"/>
          <w:szCs w:val="20"/>
        </w:rPr>
        <w:t xml:space="preserve">La liste reprend tous les contrats sans propriétaire, visibles quel que soit le service. Ouvrez un contrat, choisissez l'acheteur responsable dans la liste des agents, puis validez : le contrat quitte cette liste et apparaît désormais dans « Mes contrats » de l'acheteur désigné.</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 contrat non imputé n'entre dans aucun suivi d'échéance individuel tant qu'il reste sans propriétaire : le tableau de bord le signale, mais aucune relance personnelle n'est générée.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6</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Suivre mes contrats</w:t>
            </w:r>
          </w:p>
          <w:p>
            <w:pPr>
              <w:spacing w:before="40"/>
            </w:pPr>
            <w:r>
              <w:rPr>
                <w:rFonts w:ascii="Calibri" w:cs="Calibri" w:eastAsia="Calibri" w:hAnsi="Calibri"/>
                <w:color w:val="DCE6EC"/>
                <w:sz w:val="18"/>
                <w:szCs w:val="18"/>
              </w:rPr>
              <w:t xml:space="preserve">La file de travail personnelle, classée par urgence</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Retrouver, en un seul endroit, tous les contrats dont vous êtes l'acheteur responsable, classés par urgence de traitement.</w:t>
            </w:r>
          </w:p>
        </w:tc>
      </w:tr>
    </w:tbl>
    <w:p>
      <w:pPr>
        <w:spacing w:after="160"/>
      </w:pP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Cet écran ne montre que vos propres contrats, quel que soit un droit de consultation plus large dont vous disposeriez par ailleurs (ctr.voirTout) : pour la vue d'ensemble, utilisez le Registre (section 8).</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7</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Suivre les échéances de préavis</w:t>
            </w:r>
          </w:p>
          <w:p>
            <w:pPr>
              <w:spacing w:before="40"/>
            </w:pPr>
            <w:r>
              <w:rPr>
                <w:rFonts w:ascii="Calibri" w:cs="Calibri" w:eastAsia="Calibri" w:hAnsi="Calibri"/>
                <w:color w:val="DCE6EC"/>
                <w:sz w:val="18"/>
                <w:szCs w:val="18"/>
              </w:rPr>
              <w:t xml:space="preserve">Alertes progressives et escalade automatique</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Visualiser, classés par urgence, tous les contrats dont l'échéance de préavis approche ou est dépassée, pour ne jamais laisser un contrat se reconduire ou expirer par défaut.</w:t>
            </w:r>
          </w:p>
        </w:tc>
      </w:tr>
    </w:tbl>
    <w:p>
      <w:pPr>
        <w:spacing w:after="160"/>
      </w:pPr>
    </w:p>
    <w:p>
      <w:pPr>
        <w:spacing w:after="160"/>
      </w:pPr>
      <w:r>
        <w:rPr>
          <w:rFonts w:ascii="Calibri" w:cs="Calibri" w:eastAsia="Calibri" w:hAnsi="Calibri"/>
          <w:b w:val="false"/>
          <w:bCs w:val="false"/>
          <w:color w:val="1F262A"/>
          <w:sz w:val="20"/>
          <w:szCs w:val="20"/>
        </w:rPr>
        <w:t xml:space="preserve">Les seuils d'alerte (par défaut 90, 60 et 30 jours avant l'échéance) déclenchent un code couleur progressif. Passé l'échéance de préavis sans traitement consigné, le contrat s'escalade automatiquement au chef du service porteur, puis au Directeur D2MG.</w:t>
      </w:r>
    </w:p>
    <w:tbl>
      <w:tblPr>
        <w:tblW w:type="dxa" w:w="9360"/>
        <w:tblBorders>
          <w:top w:val="none"/>
          <w:left w:val="none"/>
          <w:bottom w:val="none"/>
          <w:right w:val="none"/>
          <w:insideH w:val="none"/>
          <w:insideV w:val="none"/>
        </w:tblBorders>
      </w:tblPr>
      <w:tblGrid>
        <w:gridCol w:w="9360"/>
      </w:tblGrid>
      <w:tr>
        <w:tc>
          <w:tcPr>
            <w:tcW w:type="dxa" w:w="9360"/>
            <w:tcBorders>
              <w:top w:val="single" w:color="F4F6F7" w:sz="2"/>
              <w:left w:val="single" w:color="2C4A63" w:sz="24"/>
              <w:bottom w:val="single" w:color="F4F6F7" w:sz="2"/>
              <w:right w:val="single" w:color="F4F6F7" w:sz="2"/>
            </w:tcBorders>
            <w:shd w:fill="F4F6F7"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EXEMPLE CONCRET</w:t>
            </w:r>
          </w:p>
          <w:p>
            <w:r>
              <w:rPr>
                <w:rFonts w:ascii="Calibri" w:cs="Calibri" w:eastAsia="Calibri" w:hAnsi="Calibri"/>
                <w:i/>
                <w:iCs/>
                <w:color w:val="1F262A"/>
                <w:sz w:val="20"/>
                <w:szCs w:val="20"/>
              </w:rPr>
              <w:t xml:space="preserve">Un contrat de maintenance dont l'échéance de préavis tombe le 15 octobre apparaît en orange dès le 15 août (60 jours avant), en rouge dès le 15 septembre (30 jours avant). Sans décision consignée à cette date, l'alerte s'escalade au chef de service au bout de 5 jours ouvrés de retard, puis au Directeur D2MG au bout de 10.</w:t>
            </w:r>
          </w:p>
        </w:tc>
      </w:tr>
    </w:tbl>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Les seuils (90/60/30 jours) et les délais d'escalade sont réglables dans Paramétrage → Seuils d'alerte — un changement s'applique à tous les contrats existants, pas seulement aux nouveaux.</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8</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Consulter le registre et la fiche d'un contrat</w:t>
            </w:r>
          </w:p>
          <w:p>
            <w:pPr>
              <w:spacing w:before="40"/>
            </w:pPr>
            <w:r>
              <w:rPr>
                <w:rFonts w:ascii="Calibri" w:cs="Calibri" w:eastAsia="Calibri" w:hAnsi="Calibri"/>
                <w:color w:val="DCE6EC"/>
                <w:sz w:val="18"/>
                <w:szCs w:val="18"/>
              </w:rPr>
              <w:t xml:space="preserve">Recherche, filtres, et détail complet en onglets</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Retrouver n'importe quel contrat visible compte tenu de vos droits d'usage, avec filtres (nature, statut, fournisseur, service) et recherche libre, et ouvrir sa fiche complète.</w:t>
            </w:r>
          </w:p>
        </w:tc>
      </w:tr>
    </w:tbl>
    <w:p>
      <w:pPr>
        <w:spacing w:after="160"/>
      </w:pPr>
    </w:p>
    <w:p>
      <w:pPr>
        <w:spacing w:after="160"/>
      </w:pPr>
      <w:r>
        <w:rPr>
          <w:rFonts w:ascii="Calibri" w:cs="Calibri" w:eastAsia="Calibri" w:hAnsi="Calibri"/>
          <w:b w:val="false"/>
          <w:bCs w:val="false"/>
          <w:color w:val="1F262A"/>
          <w:sz w:val="20"/>
          <w:szCs w:val="20"/>
        </w:rPr>
        <w:t xml:space="preserve">La fiche d'un contrat regroupe en onglets : les informations générales, les clauses SLA et leur code couleur, les avenants, les revues, les demandes d'avis juridique, les pièces jointes et l'historique horodaté et nominatif de toutes les actions effectuées sur le contrat.</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registre affiche uniquement les contrats que vos droits d'usage autorisent à voir : tous (ctr.voirTout), ceux de votre service (ctr.voirService) ou vos seuls contrats (ctr.voirMien).</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9</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Gérer la grille fournisseur</w:t>
            </w:r>
          </w:p>
          <w:p>
            <w:pPr>
              <w:spacing w:before="40"/>
            </w:pPr>
            <w:r>
              <w:rPr>
                <w:rFonts w:ascii="Calibri" w:cs="Calibri" w:eastAsia="Calibri" w:hAnsi="Calibri"/>
                <w:color w:val="DCE6EC"/>
                <w:sz w:val="18"/>
                <w:szCs w:val="18"/>
              </w:rPr>
              <w:t xml:space="preserve">Référentiel et évaluation périodique pondérée</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Tenir à jour le référentiel des fournisseurs de la D2MG et évaluer périodiquement chacun d'eux sur cinq critères pondérés : qualité (25 %), livraison (20 %), coût (20 %), respect des engagements de service — SLA (20 %) et conformité administrative (15 %).</w:t>
            </w:r>
          </w:p>
        </w:tc>
      </w:tr>
    </w:tbl>
    <w:p>
      <w:pPr>
        <w:spacing w:after="160"/>
      </w:pPr>
    </w:p>
    <w:p>
      <w:pPr>
        <w:spacing w:after="160"/>
      </w:pPr>
      <w:r>
        <w:rPr>
          <w:rFonts w:ascii="Calibri" w:cs="Calibri" w:eastAsia="Calibri" w:hAnsi="Calibri"/>
          <w:b/>
          <w:bCs/>
          <w:color w:val="1F262A"/>
          <w:sz w:val="21"/>
          <w:szCs w:val="21"/>
        </w:rPr>
        <w:t xml:space="preserve">Étape 1 — Ajouter un fournisseur</w:t>
      </w:r>
    </w:p>
    <w:p>
      <w:pPr>
        <w:spacing w:after="160"/>
      </w:pPr>
      <w:r>
        <w:rPr>
          <w:rFonts w:ascii="Calibri" w:cs="Calibri" w:eastAsia="Calibri" w:hAnsi="Calibri"/>
          <w:b w:val="false"/>
          <w:bCs w:val="false"/>
          <w:color w:val="1F262A"/>
          <w:sz w:val="20"/>
          <w:szCs w:val="20"/>
        </w:rPr>
        <w:t xml:space="preserve">« + Ajouter un fournisseur » (nom, secteur), ou « Importer une liste (CSV) » avec un gabarit à télécharger. Un nom déjà présent, à l'accent et à la casse près, est bloqué pour éviter un doublon dans le référentiel.</w:t>
      </w:r>
    </w:p>
    <w:p>
      <w:pPr>
        <w:spacing w:after="160"/>
      </w:pPr>
      <w:r>
        <w:rPr>
          <w:rFonts w:ascii="Calibri" w:cs="Calibri" w:eastAsia="Calibri" w:hAnsi="Calibri"/>
          <w:b/>
          <w:bCs/>
          <w:color w:val="1F262A"/>
          <w:sz w:val="21"/>
          <w:szCs w:val="21"/>
        </w:rPr>
        <w:t xml:space="preserve">Étape 2 — Évaluer un fournisseur</w:t>
      </w:r>
    </w:p>
    <w:p>
      <w:pPr>
        <w:spacing w:after="160"/>
      </w:pPr>
      <w:r>
        <w:rPr>
          <w:rFonts w:ascii="Calibri" w:cs="Calibri" w:eastAsia="Calibri" w:hAnsi="Calibri"/>
          <w:b w:val="false"/>
          <w:bCs w:val="false"/>
          <w:color w:val="1F262A"/>
          <w:sz w:val="20"/>
          <w:szCs w:val="20"/>
        </w:rPr>
        <w:t xml:space="preserve">À échéance régulière (un rythme trimestriel est recommandé), saisissez la note de chacun des cinq critères — le score global pondéré se calcule automatiquement.</w:t>
      </w:r>
    </w:p>
    <w:tbl>
      <w:tblPr>
        <w:tblW w:type="dxa" w:w="9360"/>
        <w:tblBorders>
          <w:top w:val="none"/>
          <w:left w:val="none"/>
          <w:bottom w:val="none"/>
          <w:right w:val="none"/>
          <w:insideH w:val="none"/>
          <w:insideV w:val="none"/>
        </w:tblBorders>
      </w:tblPr>
      <w:tblGrid>
        <w:gridCol w:w="9360"/>
      </w:tblGrid>
      <w:tr>
        <w:tc>
          <w:tcPr>
            <w:tcW w:type="dxa" w:w="9360"/>
            <w:tcBorders>
              <w:top w:val="single" w:color="F4F6F7" w:sz="2"/>
              <w:left w:val="single" w:color="2C4A63" w:sz="24"/>
              <w:bottom w:val="single" w:color="F4F6F7" w:sz="2"/>
              <w:right w:val="single" w:color="F4F6F7" w:sz="2"/>
            </w:tcBorders>
            <w:shd w:fill="F4F6F7"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EXEMPLE CONCRET</w:t>
            </w:r>
          </w:p>
          <w:p>
            <w:r>
              <w:rPr>
                <w:rFonts w:ascii="Calibri" w:cs="Calibri" w:eastAsia="Calibri" w:hAnsi="Calibri"/>
                <w:i/>
                <w:iCs/>
                <w:color w:val="1F262A"/>
                <w:sz w:val="20"/>
                <w:szCs w:val="20"/>
              </w:rPr>
              <w:t xml:space="preserve">Un fournisseur note 90/100 en qualité, 80 en livraison, 70 en coût, 95 en SLA et 100 en conformité. Le score global pondéré est 0,25 × 90 + 0,20 × 80 + 0,20 × 70 + 0,20 × 95 + 0,15 × 100 = 87,5 — visible dans son historique et dans le tableau de bord.</w:t>
            </w:r>
          </w:p>
        </w:tc>
      </w:tr>
    </w:tbl>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droit ctr.evaluerFournisseur est nécessaire pour saisir une évaluation ; la consultation de la grille reste ouverte à tout titulaire d'un droit de consultation plus large.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10</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Traiter les alertes &amp; relances</w:t>
            </w:r>
          </w:p>
          <w:p>
            <w:pPr>
              <w:spacing w:before="40"/>
            </w:pPr>
            <w:r>
              <w:rPr>
                <w:rFonts w:ascii="Calibri" w:cs="Calibri" w:eastAsia="Calibri" w:hAnsi="Calibri"/>
                <w:color w:val="DCE6EC"/>
                <w:sz w:val="18"/>
                <w:szCs w:val="18"/>
              </w:rPr>
              <w:t xml:space="preserve">Tout ce qui requiert une action, sans avoir à la chercher</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Centraliser, sans avoir à les chercher, tout ce qui requiert une action : préavis proches ou dépassés, clauses SLA non tenues ayant généré une demande d'avis juridique, et relances à consigner.</w:t>
            </w:r>
          </w:p>
        </w:tc>
      </w:tr>
    </w:tbl>
    <w:p>
      <w:pPr>
        <w:spacing w:after="160"/>
      </w:pPr>
    </w:p>
    <w:p>
      <w:pPr>
        <w:spacing w:after="160"/>
      </w:pPr>
      <w:r>
        <w:rPr>
          <w:rFonts w:ascii="Calibri" w:cs="Calibri" w:eastAsia="Calibri" w:hAnsi="Calibri"/>
          <w:b w:val="false"/>
          <w:bCs w:val="false"/>
          <w:color w:val="1F262A"/>
          <w:sz w:val="20"/>
          <w:szCs w:val="20"/>
        </w:rPr>
        <w:t xml:space="preserve">Une clause SLA dont la valeur constatée passe au rouge — par exemple un délai d'intervention supérieur à l'engagement contractuel — déclenche automatiquement une demande d'avis juridique auprès de la Cellule Juridique et Fiscale, également visible depuis la fiche du contrat concerné.</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Une relance enregistrée est tracée dans l'historique du contrat mais ne repousse pas l'échéance de préavis : seuls un avenant ou une décision de clôture le font.</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11</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Tenir les revues périodiques</w:t>
            </w:r>
          </w:p>
          <w:p>
            <w:pPr>
              <w:spacing w:before="40"/>
            </w:pPr>
            <w:r>
              <w:rPr>
                <w:rFonts w:ascii="Calibri" w:cs="Calibri" w:eastAsia="Calibri" w:hAnsi="Calibri"/>
                <w:color w:val="DCE6EC"/>
                <w:sz w:val="18"/>
                <w:szCs w:val="18"/>
              </w:rPr>
              <w:t xml:space="preserve">Traçabilité qualité de l'animation du portefeuille</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Consigner, à intervalle régulier, une revue formelle des contrats du portefeuille — décisions prises, points bloquants, actions à mener — pour la traçabilité qualité du processus PS3.</w:t>
            </w:r>
          </w:p>
        </w:tc>
      </w:tr>
    </w:tbl>
    <w:p>
      <w:pPr>
        <w:spacing w:after="160"/>
      </w:pP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Une revue enregistrée ne peut pas être supprimée : elle constitue la preuve d'animation du processus pour le SMQ.</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12</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Générer les rapports</w:t>
            </w:r>
          </w:p>
          <w:p>
            <w:pPr>
              <w:spacing w:before="40"/>
            </w:pPr>
            <w:r>
              <w:rPr>
                <w:rFonts w:ascii="Calibri" w:cs="Calibri" w:eastAsia="Calibri" w:hAnsi="Calibri"/>
                <w:color w:val="DCE6EC"/>
                <w:sz w:val="18"/>
                <w:szCs w:val="18"/>
              </w:rPr>
              <w:t xml:space="preserve">Synthèse périodique pour le pilotage du processus PS3</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Produire, pour une période et un périmètre donnés, un rapport de synthèse du portefeuille de contrats destiné au pilotage du processus PS3 — exportable en HTML autonome, prêt à être imprimé ou transmis.</w:t>
            </w:r>
          </w:p>
        </w:tc>
      </w:tr>
    </w:tbl>
    <w:p>
      <w:pPr>
        <w:spacing w:after="160"/>
      </w:pP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rapport reprend les contrats visibles compte tenu de vos droits d'usage au moment de la génération : deux acteurs aux droits différents peuvent obtenir des rapports de périmètre différent pour la même période.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13</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Paramétrer le module</w:t>
            </w:r>
          </w:p>
          <w:p>
            <w:pPr>
              <w:spacing w:before="40"/>
            </w:pPr>
            <w:r>
              <w:rPr>
                <w:rFonts w:ascii="Calibri" w:cs="Calibri" w:eastAsia="Calibri" w:hAnsi="Calibri"/>
                <w:color w:val="DCE6EC"/>
                <w:sz w:val="18"/>
                <w:szCs w:val="18"/>
              </w:rPr>
              <w:t xml:space="preserve">Préavis, seuils, services, destinataires institutionnels</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Ajuster, sans intervention technique, la grille de préavis par nature de contrat, les seuils d'alerte et délais d'escalade, les services et leur chef, l'affectation des acteurs à un service, et les deux destinataires institutionnels — Directeur D2MG et Cellule Juridique et Fiscale.</w:t>
            </w:r>
          </w:p>
        </w:tc>
      </w:tr>
    </w:tbl>
    <w:p>
      <w:pPr>
        <w:spacing w:after="160"/>
      </w:pPr>
    </w:p>
    <w:p>
      <w:pPr>
        <w:spacing w:after="160"/>
      </w:pPr>
      <w:r>
        <w:rPr>
          <w:rFonts w:ascii="Calibri" w:cs="Calibri" w:eastAsia="Calibri" w:hAnsi="Calibri"/>
          <w:b w:val="false"/>
          <w:bCs w:val="false"/>
          <w:color w:val="1F262A"/>
          <w:sz w:val="20"/>
          <w:szCs w:val="20"/>
        </w:rPr>
        <w:t xml:space="preserve">Les jours fériés utilisés pour le calcul des délais sont communs à toute la plateforme D2MG Pilotage et s'affichent ici en lecture seule.</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Les jours fériés ne se modifient pas depuis ce module : contactez le Directeur D2MG / Pilote pour toute correction.</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 changement de seuil d'alerte ou de grille de préavis s'applique immédiatement à tous les contrats existants, pas seulement aux nouveaux.</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14</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S'appuyer sur le mode d'emploi intégré</w:t>
            </w:r>
          </w:p>
          <w:p>
            <w:pPr>
              <w:spacing w:before="40"/>
            </w:pPr>
            <w:r>
              <w:rPr>
                <w:rFonts w:ascii="Calibri" w:cs="Calibri" w:eastAsia="Calibri" w:hAnsi="Calibri"/>
                <w:color w:val="DCE6EC"/>
                <w:sz w:val="18"/>
                <w:szCs w:val="18"/>
              </w:rPr>
              <w:t xml:space="preserve">Rappel du fonctionnement et de vos propres droits</w:t>
            </w:r>
          </w:p>
        </w:tc>
      </w:tr>
    </w:tbl>
    <w:p>
      <w:pPr>
        <w:spacing w:after="160"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Retrouver, sans quitter l'application, un résumé du fonctionnement du module et la liste de vos propres droits d'usage, recalculée en direct.</w:t>
            </w:r>
          </w:p>
        </w:tc>
      </w:tr>
    </w:tbl>
    <w:p>
      <w:pPr>
        <w:spacing w:after="160"/>
      </w:pP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La liste des droits d'usage affichée sur cet écran est celle de votre propre compte : c'est le moyen le plus rapide de vérifier pourquoi un bouton ou un menu n'apparaît pas chez vous.</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15</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Bonnes pratiques, droits d'usage et questions fréquentes</w:t>
            </w:r>
          </w:p>
          <w:p>
            <w:pPr>
              <w:spacing w:before="40"/>
            </w:pPr>
            <w:r>
              <w:rPr>
                <w:rFonts w:ascii="Calibri" w:cs="Calibri" w:eastAsia="Calibri" w:hAnsi="Calibri"/>
                <w:color w:val="DCE6EC"/>
                <w:sz w:val="18"/>
                <w:szCs w:val="18"/>
              </w:rPr>
              <w:t xml:space="preserve">Pour un usage quotidien fiable du module</w:t>
            </w:r>
          </w:p>
        </w:tc>
      </w:tr>
    </w:tbl>
    <w:p>
      <w:pPr>
        <w:spacing w:after="160" w:before="240"/>
      </w:pPr>
    </w:p>
    <w:p>
      <w:pPr>
        <w:spacing w:after="140"/>
      </w:pPr>
      <w:r>
        <w:rPr>
          <w:rFonts w:ascii="Calibri" w:cs="Calibri" w:eastAsia="Calibri" w:hAnsi="Calibri"/>
          <w:b/>
          <w:bCs/>
          <w:color w:val="1F262A"/>
          <w:sz w:val="22"/>
          <w:szCs w:val="22"/>
        </w:rPr>
        <w:t xml:space="preserve">Bonnes pratiques</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Enregistrer un contrat dès sa signature. Un contrat non enregistré échappe entièrement au suivi des échéances.</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Imputer sans délai. Un contrat sans acheteur responsable n'est relancé par personne.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Vérifier l'échéance de préavis calculée avant de valider un contrat — elle conditionne toute l'animation ultérieure.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Traiter une alerte dès qu'elle apparaît. Sans action, elle s'escalade automatiquement au chef de service puis au Directeur D2MG.</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Tenir les revues périodiques. Elles constituent la preuve d'animation du processus pour le SMQ.</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Mettre à jour la grille fournisseur à échéance régulière : un score fournisseur ancien perd sa valeur d'aide à la décision.</w:t>
      </w:r>
    </w:p>
    <w:p>
      <w:pPr>
        <w:spacing w:after="100" w:before="100"/>
      </w:pPr>
    </w:p>
    <w:p>
      <w:pPr>
        <w:spacing w:after="140"/>
      </w:pPr>
      <w:r>
        <w:rPr>
          <w:rFonts w:ascii="Calibri" w:cs="Calibri" w:eastAsia="Calibri" w:hAnsi="Calibri"/>
          <w:b/>
          <w:bCs/>
          <w:color w:val="1F262A"/>
          <w:sz w:val="22"/>
          <w:szCs w:val="22"/>
        </w:rPr>
        <w:t xml:space="preserve">Vos droits d'usage sur ce module</w:t>
      </w:r>
    </w:p>
    <w:p>
      <w:pPr>
        <w:spacing w:after="160"/>
      </w:pPr>
      <w:r>
        <w:rPr>
          <w:rFonts w:ascii="Calibri" w:cs="Calibri" w:eastAsia="Calibri" w:hAnsi="Calibri"/>
          <w:b w:val="false"/>
          <w:bCs w:val="false"/>
          <w:color w:val="1F262A"/>
          <w:sz w:val="20"/>
          <w:szCs w:val="20"/>
        </w:rPr>
        <w:t xml:space="preserve">Chaque acteur dispose de droits d'usage individuels sur le module, attribués par le Directeur D2MG / Pilote (ou un Co-pilote) depuis l'accueil D2MG Pilotage, fiche acteur, onglet « Gestion des contrats fournisseurs ». Ce même écran d'administration, déjà utilisé pour les autres modules, gère les droits de Gestion des contrats fournisseurs sans aucun réglage supplémentaire à faire.</w:t>
      </w:r>
    </w:p>
    <w:p>
      <w:pPr>
        <w:spacing w:after="100"/>
      </w:pPr>
    </w:p>
    <w:tbl>
      <w:tblPr>
        <w:tblW w:type="dxa" w:w="9360"/>
        <w:tblBorders>
          <w:top w:val="single" w:color="DDE3E7" w:sz="2"/>
          <w:left w:val="single" w:color="DDE3E7" w:sz="2"/>
          <w:bottom w:val="single" w:color="DDE3E7" w:sz="2"/>
          <w:right w:val="single" w:color="DDE3E7" w:sz="2"/>
          <w:insideH w:val="single" w:color="DDE3E7" w:sz="2"/>
          <w:insideV w:val="single" w:color="DDE3E7" w:sz="2"/>
        </w:tblBorders>
      </w:tblPr>
      <w:tblGrid>
        <w:gridCol w:w="2200"/>
        <w:gridCol w:w="2200"/>
        <w:gridCol w:w="4960"/>
      </w:tblGrid>
      <w:tr>
        <w:trPr>
          <w:tblHeader/>
        </w:trPr>
        <w:tc>
          <w:tcPr>
            <w:tcW w:type="dxa" w:w="2200"/>
            <w:shd w:fill="1B2F3F" w:color="auto" w:val="clear"/>
            <w:tcMar>
              <w:top w:type="dxa" w:w="90"/>
              <w:left w:type="dxa" w:w="120"/>
              <w:bottom w:type="dxa" w:w="90"/>
              <w:right w:type="dxa" w:w="120"/>
            </w:tcMar>
          </w:tcPr>
          <w:p>
            <w:pPr>
              <w:spacing w:after="0"/>
            </w:pPr>
            <w:r>
              <w:rPr>
                <w:rFonts w:ascii="Calibri" w:cs="Calibri" w:eastAsia="Calibri" w:hAnsi="Calibri"/>
                <w:b/>
                <w:bCs/>
                <w:color w:val="FFFFFF"/>
                <w:sz w:val="17"/>
                <w:szCs w:val="17"/>
              </w:rPr>
              <w:t xml:space="preserve">GROUPE</w:t>
            </w:r>
          </w:p>
        </w:tc>
        <w:tc>
          <w:tcPr>
            <w:tcW w:type="dxa" w:w="2200"/>
            <w:shd w:fill="1B2F3F" w:color="auto" w:val="clear"/>
            <w:tcMar>
              <w:top w:type="dxa" w:w="90"/>
              <w:left w:type="dxa" w:w="120"/>
              <w:bottom w:type="dxa" w:w="90"/>
              <w:right w:type="dxa" w:w="120"/>
            </w:tcMar>
          </w:tcPr>
          <w:p>
            <w:pPr>
              <w:spacing w:after="0"/>
            </w:pPr>
            <w:r>
              <w:rPr>
                <w:rFonts w:ascii="Calibri" w:cs="Calibri" w:eastAsia="Calibri" w:hAnsi="Calibri"/>
                <w:b/>
                <w:bCs/>
                <w:color w:val="FFFFFF"/>
                <w:sz w:val="17"/>
                <w:szCs w:val="17"/>
              </w:rPr>
              <w:t xml:space="preserve">DROIT</w:t>
            </w:r>
          </w:p>
        </w:tc>
        <w:tc>
          <w:tcPr>
            <w:tcW w:type="dxa" w:w="4960"/>
            <w:shd w:fill="1B2F3F" w:color="auto" w:val="clear"/>
            <w:tcMar>
              <w:top w:type="dxa" w:w="90"/>
              <w:left w:type="dxa" w:w="120"/>
              <w:bottom w:type="dxa" w:w="90"/>
              <w:right w:type="dxa" w:w="120"/>
            </w:tcMar>
          </w:tcPr>
          <w:p>
            <w:pPr>
              <w:spacing w:after="0"/>
            </w:pPr>
            <w:r>
              <w:rPr>
                <w:rFonts w:ascii="Calibri" w:cs="Calibri" w:eastAsia="Calibri" w:hAnsi="Calibri"/>
                <w:b/>
                <w:bCs/>
                <w:color w:val="FFFFFF"/>
                <w:sz w:val="17"/>
                <w:szCs w:val="17"/>
              </w:rPr>
              <w:t xml:space="preserve">CE QUE CELA PERMET</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Consultation</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ctr.voirTout</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Accès au registre complet de la D2MG.</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Consultation</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ctr.voirService</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Accès limité au périmètre de son service D2MG.</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Consultation</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ctr.voirMien</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Accès aux seuls contrats dont il/elle est propriétaire.</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Traitement</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ctr.enregistrer</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Saisie manuelle ou import CSV/BC d'un contrat.</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Traitement</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ctr.modifier</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Édition des informations d'un contrat existant.</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Traitement</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ctr.imputer</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Affecter un contrat à un propriétaire (écran « À imputer »).</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Traitement</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ctr.cloturer</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Acter la fin ou l'abandon d'un contrat.</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Pilotage</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ctr.relancer</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Générer et tracer les relances sur préavis proches ou en retard.</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Pilotage</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ctr.rapport</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Produire le rapport institutionnel de la période.</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Pilotage</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ctr.arbitrer</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Décision d'arbitrage sur un contrat (Directeur).</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Juridique</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ctr.demanderAvis</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Ouvrir une demande d'avis auprès de la Cellule Juridique et Fiscale.</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Juridique</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ctr.traiterAvis</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Répondre à une demande d'avis (Cellule Juridique et Fiscale).</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Juridique</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ctr.voirAlertesJuridiques</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Visibilité sur les clauses et demandes d'avis juridiques.</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Fournisseurs</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ctr.evaluerFournisseur</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Saisir une évaluation périodique dans la grille fournisseur.</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Administration</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ctr.parametrer</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Référentiels, seuils, délais, jours fériés, droits d'usage.</w:t>
            </w:r>
          </w:p>
        </w:tc>
      </w:tr>
    </w:tbl>
    <w:p>
      <w:pPr>
        <w:spacing w:after="100" w:before="200"/>
      </w:pPr>
    </w:p>
    <w:p>
      <w:pPr>
        <w:spacing w:after="140"/>
      </w:pPr>
      <w:r>
        <w:rPr>
          <w:rFonts w:ascii="Calibri" w:cs="Calibri" w:eastAsia="Calibri" w:hAnsi="Calibri"/>
          <w:b/>
          <w:bCs/>
          <w:color w:val="1F262A"/>
          <w:sz w:val="22"/>
          <w:szCs w:val="22"/>
        </w:rPr>
        <w:t xml:space="preserve">Questions fréquentes</w:t>
      </w:r>
    </w:p>
    <w:p>
      <w:pPr>
        <w:spacing w:after="60"/>
      </w:pPr>
      <w:r>
        <w:rPr>
          <w:rFonts w:ascii="Calibri" w:cs="Calibri" w:eastAsia="Calibri" w:hAnsi="Calibri"/>
          <w:b/>
          <w:bCs/>
          <w:color w:val="1F262A"/>
          <w:sz w:val="20"/>
          <w:szCs w:val="20"/>
        </w:rPr>
        <w:t xml:space="preserve">Je ne vois pas certains menus (Enregistrer, Rapports, Paramétrage…) : pourquoi ?</w:t>
      </w:r>
    </w:p>
    <w:p>
      <w:pPr>
        <w:spacing w:after="160"/>
      </w:pPr>
      <w:r>
        <w:rPr>
          <w:rFonts w:ascii="Calibri" w:cs="Calibri" w:eastAsia="Calibri" w:hAnsi="Calibri"/>
          <w:b w:val="false"/>
          <w:bCs w:val="false"/>
          <w:color w:val="1F262A"/>
          <w:sz w:val="20"/>
          <w:szCs w:val="20"/>
        </w:rPr>
        <w:t xml:space="preserve">Ces menus sont réservés à des droits précis (ctr.enregistrer, ctr.rapport, ctr.parametrer, etc.). Consultez la section « Vos droits d'usage » de l'écran Mode d'emploi (dans l'application) pour voir précisément ce qui vous a été attribué, et demandez l'ouverture du droit manquant au Directeur D2MG / Pilote si nécessaire.</w:t>
      </w:r>
    </w:p>
    <w:p>
      <w:pPr>
        <w:spacing w:after="60"/>
      </w:pPr>
      <w:r>
        <w:rPr>
          <w:rFonts w:ascii="Calibri" w:cs="Calibri" w:eastAsia="Calibri" w:hAnsi="Calibri"/>
          <w:b/>
          <w:bCs/>
          <w:color w:val="1F262A"/>
          <w:sz w:val="20"/>
          <w:szCs w:val="20"/>
        </w:rPr>
        <w:t xml:space="preserve">Puis-je supprimer un contrat enregistré par erreur ?</w:t>
      </w:r>
    </w:p>
    <w:p>
      <w:pPr>
        <w:spacing w:after="160"/>
      </w:pPr>
      <w:r>
        <w:rPr>
          <w:rFonts w:ascii="Calibri" w:cs="Calibri" w:eastAsia="Calibri" w:hAnsi="Calibri"/>
          <w:b w:val="false"/>
          <w:bCs w:val="false"/>
          <w:color w:val="1F262A"/>
          <w:sz w:val="20"/>
          <w:szCs w:val="20"/>
        </w:rPr>
        <w:t xml:space="preserve">Non : pour la traçabilité qualité, aucun contrat ne peut être supprimé une fois enregistré. Un contrat créé par erreur peut être clôturé avec un motif d'abandon expliquant l'erreur, ce qui le sort du suivi actif sans effacer sa trace.</w:t>
      </w:r>
    </w:p>
    <w:p>
      <w:pPr>
        <w:spacing w:after="60"/>
      </w:pPr>
      <w:r>
        <w:rPr>
          <w:rFonts w:ascii="Calibri" w:cs="Calibri" w:eastAsia="Calibri" w:hAnsi="Calibri"/>
          <w:b/>
          <w:bCs/>
          <w:color w:val="1F262A"/>
          <w:sz w:val="20"/>
          <w:szCs w:val="20"/>
        </w:rPr>
        <w:t xml:space="preserve">La grille de préavis par nature de contrat peut-elle être modifiée ?</w:t>
      </w:r>
    </w:p>
    <w:p>
      <w:pPr>
        <w:spacing w:after="160"/>
      </w:pPr>
      <w:r>
        <w:rPr>
          <w:rFonts w:ascii="Calibri" w:cs="Calibri" w:eastAsia="Calibri" w:hAnsi="Calibri"/>
          <w:b w:val="false"/>
          <w:bCs w:val="false"/>
          <w:color w:val="1F262A"/>
          <w:sz w:val="20"/>
          <w:szCs w:val="20"/>
        </w:rPr>
        <w:t xml:space="preserve">Oui, par les détenteurs du droit ctr.parametrer, depuis Paramétrage. Toute modification s'applique immédiatement à tous les contrats existants de cette nature, pas seulement aux nouveaux.</w:t>
      </w:r>
    </w:p>
    <w:p>
      <w:pPr>
        <w:spacing w:after="60"/>
      </w:pPr>
      <w:r>
        <w:rPr>
          <w:rFonts w:ascii="Calibri" w:cs="Calibri" w:eastAsia="Calibri" w:hAnsi="Calibri"/>
          <w:b/>
          <w:bCs/>
          <w:color w:val="1F262A"/>
          <w:sz w:val="20"/>
          <w:szCs w:val="20"/>
        </w:rPr>
        <w:t xml:space="preserve">Qui reçoit les demandes d'avis juridique et les escalades de retard ?</w:t>
      </w:r>
    </w:p>
    <w:p>
      <w:pPr>
        <w:spacing w:after="160"/>
      </w:pPr>
      <w:r>
        <w:rPr>
          <w:rFonts w:ascii="Calibri" w:cs="Calibri" w:eastAsia="Calibri" w:hAnsi="Calibri"/>
          <w:b w:val="false"/>
          <w:bCs w:val="false"/>
          <w:color w:val="1F262A"/>
          <w:sz w:val="20"/>
          <w:szCs w:val="20"/>
        </w:rPr>
        <w:t xml:space="preserve">Le destinataire à la Cellule Juridique et Fiscale et le Directeur D2MG destinataire des escalades sont désignés dans Paramétrage → Destinataires institutionnels, par un détenteur du droit ctr.parametrer. Ce réglage remplace toute déduction automatique par rôle.</w:t>
      </w:r>
    </w:p>
    <w:p>
      <w:pPr>
        <w:spacing w:after="60"/>
      </w:pPr>
      <w:r>
        <w:rPr>
          <w:rFonts w:ascii="Calibri" w:cs="Calibri" w:eastAsia="Calibri" w:hAnsi="Calibri"/>
          <w:b/>
          <w:bCs/>
          <w:color w:val="1F262A"/>
          <w:sz w:val="20"/>
          <w:szCs w:val="20"/>
        </w:rPr>
        <w:t xml:space="preserve">Mes données sont-elles partagées avec les autres modules ?</w:t>
      </w:r>
    </w:p>
    <w:p>
      <w:pPr>
        <w:spacing w:after="160"/>
      </w:pPr>
      <w:r>
        <w:rPr>
          <w:rFonts w:ascii="Calibri" w:cs="Calibri" w:eastAsia="Calibri" w:hAnsi="Calibri"/>
          <w:b w:val="false"/>
          <w:bCs w:val="false"/>
          <w:color w:val="1F262A"/>
          <w:sz w:val="20"/>
          <w:szCs w:val="20"/>
        </w:rPr>
        <w:t xml:space="preserve">Gestion des contrats fournisseurs partage la même base et le même système de comptes et de droits que PS3, Gestion de projet, Gestion des courriers et Gestion des opérations, mais ses propres données (contrats, fournisseurs, évaluations) restent propres au module.</w:t>
      </w:r>
    </w:p>
    <w:p>
      <w:pPr>
        <w:pBdr>
          <w:top w:val="single" w:color="DDE3E7" w:sz="4"/>
        </w:pBdr>
        <w:spacing w:before="200"/>
        <w:jc w:val="center"/>
      </w:pPr>
      <w:r>
        <w:rPr>
          <w:rFonts w:ascii="Calibri" w:cs="Calibri" w:eastAsia="Calibri" w:hAnsi="Calibri"/>
          <w:color w:val="6B767C"/>
          <w:sz w:val="15"/>
          <w:szCs w:val="15"/>
        </w:rPr>
        <w:t xml:space="preserve">ANADER — Société Anonyme au capital de 500 000 000 F CFA — Siège social : Abidjan — www.anader.ci</w:t>
      </w:r>
    </w:p>
    <w:sectPr>
      <w:headerReference w:type="default" r:id="rId9"/>
      <w:footerReference w:type="default" r:id="rId10"/>
      <w:pgSz w:w="11906" w:h="16838" w:orient="portrait"/>
      <w:pgMar w:top="1400" w:right="1276" w:bottom="1200"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7" w:sz="4"/>
      </w:pBdr>
      <w:tabs>
        <w:tab w:val="right" w:pos="9026"/>
      </w:tabs>
    </w:pPr>
    <w:r>
      <w:rPr>
        <w:rFonts w:ascii="Calibri" w:cs="Calibri" w:eastAsia="Calibri" w:hAnsi="Calibri"/>
        <w:color w:val="6B767C"/>
        <w:sz w:val="16"/>
        <w:szCs w:val="16"/>
      </w:rPr>
      <w:t xml:space="preserve">ANADER — Direction marchés et moyens généraux</w:t>
    </w:r>
    <w:r>
      <w:rPr>
        <w:rFonts w:ascii="Calibri" w:cs="Calibri" w:eastAsia="Calibri" w:hAnsi="Calibri"/>
        <w:color w:val="6B767C"/>
        <w:sz w:val="16"/>
        <w:szCs w:val="16"/>
      </w:rPr>
      <w:t xml:space="preserve">	Page </w:t>
    </w:r>
    <w:r>
      <w:rPr>
        <w:rFonts w:ascii="Calibri" w:cs="Calibri" w:eastAsia="Calibri" w:hAnsi="Calibri"/>
        <w:color w:val="6B767C"/>
        <w:sz w:val="16"/>
        <w:szCs w:val="16"/>
      </w:rPr>
      <w:fldChar w:fldCharType="begin"/>
      <w:instrText xml:space="preserve">PAGE</w:instrText>
      <w:fldChar w:fldCharType="separate"/>
      <w:fldChar w:fldCharType="end"/>
    </w:r>
    <w:r>
      <w:rPr>
        <w:rFonts w:ascii="Calibri" w:cs="Calibri" w:eastAsia="Calibri" w:hAnsi="Calibri"/>
        <w:color w:val="6B767C"/>
        <w:sz w:val="16"/>
        <w:szCs w:val="16"/>
      </w:rPr>
      <w:t xml:space="preserve"> / </w:t>
    </w:r>
    <w:r>
      <w:rPr>
        <w:rFonts w:ascii="Calibri" w:cs="Calibri" w:eastAsia="Calibri" w:hAnsi="Calibri"/>
        <w:color w:val="6B76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4A63" w:sz="4"/>
      </w:pBdr>
      <w:tabs>
        <w:tab w:val="right" w:pos="9026"/>
      </w:tabs>
    </w:pPr>
    <w:r>
      <w:rPr>
        <w:rFonts w:ascii="Calibri" w:cs="Calibri" w:eastAsia="Calibri" w:hAnsi="Calibri"/>
        <w:b/>
        <w:bCs/>
        <w:color w:val="1B2F3F"/>
        <w:sz w:val="16"/>
        <w:szCs w:val="16"/>
      </w:rPr>
      <w:t xml:space="preserve">D2MG PILOTAGE</w:t>
    </w:r>
    <w:r>
      <w:rPr>
        <w:rFonts w:ascii="Calibri" w:cs="Calibri" w:eastAsia="Calibri" w:hAnsi="Calibri"/>
        <w:color w:val="6B767C"/>
        <w:sz w:val="16"/>
        <w:szCs w:val="16"/>
      </w:rPr>
      <w:t xml:space="preserve">	Manuel d'utilisation — Gestion des contrats fournisseurs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2026-08-20T15:39:43.099Z</dcterms:created>
  <dcterms:modified xsi:type="dcterms:W3CDTF">2026-08-20T15:39:43.099Z</dcterms:modified>
</cp:coreProperties>
</file>

<file path=docProps/custom.xml><?xml version="1.0" encoding="utf-8"?>
<Properties xmlns="http://schemas.openxmlformats.org/officeDocument/2006/custom-properties" xmlns:vt="http://schemas.openxmlformats.org/officeDocument/2006/docPropsVTypes"/>
</file>