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1214E6EF" w14:textId="4A37E26A" w:rsidR="00DB2F39" w:rsidRDefault="00DB2F39" w:rsidP="00737CAD">
            <w:r>
              <w:t xml:space="preserve">Collects min/max </w:t>
            </w:r>
            <w:r w:rsidR="002B0AC6">
              <w:t>values of timestamps or numeric values within a</w:t>
            </w:r>
            <w:r>
              <w:t xml:space="preserve"> data flows.</w:t>
            </w:r>
          </w:p>
        </w:tc>
      </w:tr>
      <w:tr w:rsidR="00A76776" w14:paraId="7D4930A7" w14:textId="77777777" w:rsidTr="00A76776">
        <w:tc>
          <w:tcPr>
            <w:tcW w:w="2127" w:type="dxa"/>
          </w:tcPr>
          <w:p w14:paraId="6C444616" w14:textId="071D9BAE"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6A2EC4">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6A2EC4">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6A2EC4">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6A2EC4">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6A2EC4">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6A2EC4">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6A2EC4">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6A2EC4">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6A2EC4">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6A2EC4">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lastRenderedPageBreak/>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6A2EC4">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6A2EC4">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6A2EC4">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6A2EC4">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6A2EC4">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6A2EC4">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6A2EC4">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6A2EC4">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6A2EC4">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6A2EC4">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6A2EC4">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6A2EC4">
        <w:tc>
          <w:tcPr>
            <w:tcW w:w="2127" w:type="dxa"/>
            <w:tcBorders>
              <w:left w:val="single" w:sz="1" w:space="0" w:color="000000"/>
              <w:bottom w:val="single" w:sz="1" w:space="0" w:color="000000"/>
            </w:tcBorders>
            <w:shd w:val="clear" w:color="auto" w:fill="auto"/>
          </w:tcPr>
          <w:p w14:paraId="3CCD5847" w14:textId="18315F36" w:rsidR="005F51ED" w:rsidRDefault="00B0346A" w:rsidP="00737CAD">
            <w:pPr>
              <w:pStyle w:val="TableContents"/>
            </w:pPr>
            <w:r>
              <w:t>Last mus</w:t>
            </w:r>
            <w:r w:rsidR="00AD6810">
              <w:t>t</w:t>
            </w:r>
            <w:r>
              <w:t xml:space="preserve"> have data inserted or deleted</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E1200D" w14:paraId="437DD995" w14:textId="77777777" w:rsidTr="006A2EC4">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6A2EC4">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rsidTr="006A2EC4">
        <w:tc>
          <w:tcPr>
            <w:tcW w:w="2127" w:type="dxa"/>
            <w:tcBorders>
              <w:left w:val="single" w:sz="1" w:space="0" w:color="000000"/>
              <w:bottom w:val="single" w:sz="1" w:space="0" w:color="000000"/>
            </w:tcBorders>
            <w:shd w:val="clear" w:color="auto" w:fill="auto"/>
          </w:tcPr>
          <w:p w14:paraId="5DF819B2" w14:textId="77777777" w:rsidR="005F51ED" w:rsidRDefault="00B0346A" w:rsidP="00737CAD">
            <w:pPr>
              <w:pStyle w:val="TableContents"/>
            </w:pPr>
            <w:r>
              <w:t>Only successful</w:t>
            </w:r>
          </w:p>
        </w:tc>
        <w:tc>
          <w:tcPr>
            <w:tcW w:w="7518"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rsidP="00737CAD">
            <w:pPr>
              <w:pStyle w:val="TableContents"/>
            </w:pPr>
            <w:r>
              <w:t>Only successful job are part of the list above</w:t>
            </w:r>
          </w:p>
        </w:tc>
      </w:tr>
      <w:tr w:rsidR="005F51ED" w14:paraId="6B77ADEB" w14:textId="77777777" w:rsidTr="006A2EC4">
        <w:tc>
          <w:tcPr>
            <w:tcW w:w="2127" w:type="dxa"/>
            <w:tcBorders>
              <w:left w:val="single" w:sz="1" w:space="0" w:color="000000"/>
              <w:bottom w:val="single" w:sz="1" w:space="0" w:color="000000"/>
            </w:tcBorders>
            <w:shd w:val="clear" w:color="auto" w:fill="auto"/>
          </w:tcPr>
          <w:p w14:paraId="3E2DC500" w14:textId="77777777" w:rsidR="005F51ED" w:rsidRDefault="00B0346A" w:rsidP="00737CAD">
            <w:pPr>
              <w:pStyle w:val="TableContents"/>
            </w:pPr>
            <w:r>
              <w:t>Only with data</w:t>
            </w:r>
          </w:p>
        </w:tc>
        <w:tc>
          <w:tcPr>
            <w:tcW w:w="7518"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rsidP="00737CAD">
            <w:pPr>
              <w:pStyle w:val="TableContents"/>
            </w:pPr>
            <w:r>
              <w:t>Only job which affects more the one dataset will be part of the list above</w:t>
            </w:r>
          </w:p>
        </w:tc>
      </w:tr>
      <w:tr w:rsidR="005F51ED" w14:paraId="4994A376" w14:textId="77777777" w:rsidTr="006A2EC4">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6A2EC4">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6A2EC4">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6A2EC4">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6A2EC4">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6A2EC4">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6A2EC4">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6A2EC4">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6A2EC4">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3C349E">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If true the job instance id will be printed to System.out</w:t>
            </w:r>
          </w:p>
        </w:tc>
      </w:tr>
      <w:tr w:rsidR="003C349E" w14:paraId="243935EA" w14:textId="77777777" w:rsidTr="003C349E">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7F28EF82"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00ED7A11">
        <w:rPr>
          <w:sz w:val="18"/>
          <w:szCs w:val="18"/>
        </w:rPr>
        <w:t xml:space="preserve"> NULL default NULL</w:t>
      </w:r>
      <w:r w:rsidRPr="00DF5E9B">
        <w:rPr>
          <w:sz w:val="18"/>
          <w:szCs w:val="18"/>
        </w:rPr>
        <w:t>,</w:t>
      </w:r>
    </w:p>
    <w:p w14:paraId="471F2A34" w14:textId="39D2EA12"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ED7A11" w:rsidRPr="00ED7A11">
        <w:rPr>
          <w:sz w:val="18"/>
          <w:szCs w:val="18"/>
        </w:rPr>
        <w:t xml:space="preserve"> </w:t>
      </w:r>
      <w:bookmarkStart w:id="1" w:name="_GoBack"/>
      <w:bookmarkEnd w:id="1"/>
      <w:r w:rsidR="00ED7A11">
        <w:rPr>
          <w:sz w:val="18"/>
          <w:szCs w:val="18"/>
        </w:rPr>
        <w:t>NULL default NULL</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13734794"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5BFAFC2F" w14:textId="5638DFCB"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lastRenderedPageBreak/>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lastRenderedPageBreak/>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39AAA" w14:textId="77777777" w:rsidR="009D69FF" w:rsidRDefault="009D69FF" w:rsidP="00737CAD">
      <w:r>
        <w:separator/>
      </w:r>
    </w:p>
  </w:endnote>
  <w:endnote w:type="continuationSeparator" w:id="0">
    <w:p w14:paraId="14998175" w14:textId="77777777" w:rsidR="009D69FF" w:rsidRDefault="009D69FF"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0E1776" w:rsidRDefault="000E1776"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0E1776" w:rsidRDefault="000E1776"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0E1776" w:rsidRPr="00AB2ED4" w:rsidRDefault="000E1776"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ED7A11">
      <w:rPr>
        <w:rStyle w:val="PageNumber"/>
        <w:noProof/>
        <w:lang w:val="de-DE"/>
      </w:rPr>
      <w:t>17</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0E1776" w:rsidRDefault="000E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60786" w14:textId="77777777" w:rsidR="009D69FF" w:rsidRDefault="009D69FF" w:rsidP="00737CAD">
      <w:r>
        <w:separator/>
      </w:r>
    </w:p>
  </w:footnote>
  <w:footnote w:type="continuationSeparator" w:id="0">
    <w:p w14:paraId="2B35E4A3" w14:textId="77777777" w:rsidR="009D69FF" w:rsidRDefault="009D69FF"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0E1776" w:rsidRDefault="000E1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0E1776" w:rsidRDefault="000E17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0E1776" w:rsidRDefault="000E1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1D73"/>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141E"/>
    <w:rsid w:val="00A76776"/>
    <w:rsid w:val="00A91DE3"/>
    <w:rsid w:val="00AA38FB"/>
    <w:rsid w:val="00AB2ED4"/>
    <w:rsid w:val="00AB7140"/>
    <w:rsid w:val="00AC3AC8"/>
    <w:rsid w:val="00AD1BBE"/>
    <w:rsid w:val="00AD4076"/>
    <w:rsid w:val="00AD6810"/>
    <w:rsid w:val="00B0346A"/>
    <w:rsid w:val="00B4135A"/>
    <w:rsid w:val="00B865AD"/>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ED7A11"/>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F49DC-CD8D-5642-B91C-C8635119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22</Pages>
  <Words>5794</Words>
  <Characters>33029</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38746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52</cp:revision>
  <cp:lastPrinted>2015-01-14T20:43:00Z</cp:lastPrinted>
  <dcterms:created xsi:type="dcterms:W3CDTF">2015-01-14T20:43:00Z</dcterms:created>
  <dcterms:modified xsi:type="dcterms:W3CDTF">2016-10-04T14:42:00Z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