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76CCD" w14:textId="0AF12280" w:rsidR="00250F75" w:rsidRDefault="00042515" w:rsidP="00042515">
      <w:r>
        <w:rPr>
          <w:noProof/>
        </w:rPr>
        <w:drawing>
          <wp:inline distT="0" distB="0" distL="0" distR="0" wp14:anchorId="5FC54E55" wp14:editId="14CD68A0">
            <wp:extent cx="8830535" cy="2514600"/>
            <wp:effectExtent l="0" t="0" r="8890" b="0"/>
            <wp:docPr id="1266335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356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37497" cy="251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2"/>
        <w:gridCol w:w="1810"/>
        <w:gridCol w:w="1817"/>
        <w:gridCol w:w="644"/>
        <w:gridCol w:w="4065"/>
        <w:gridCol w:w="567"/>
        <w:gridCol w:w="3283"/>
      </w:tblGrid>
      <w:tr w:rsidR="00052819" w14:paraId="7817D0F0" w14:textId="46609E95" w:rsidTr="00052819">
        <w:tc>
          <w:tcPr>
            <w:tcW w:w="5395" w:type="dxa"/>
            <w:gridSpan w:val="3"/>
          </w:tcPr>
          <w:p w14:paraId="760B17F9" w14:textId="45F0609D" w:rsidR="00042515" w:rsidRDefault="00042515" w:rsidP="00042515">
            <w:pPr>
              <w:jc w:val="center"/>
            </w:pPr>
            <w:r>
              <w:t>Education</w:t>
            </w:r>
          </w:p>
        </w:tc>
        <w:tc>
          <w:tcPr>
            <w:tcW w:w="270" w:type="dxa"/>
          </w:tcPr>
          <w:p w14:paraId="6608B4B2" w14:textId="77777777" w:rsidR="00042515" w:rsidRDefault="00042515" w:rsidP="00042515">
            <w:pPr>
              <w:jc w:val="center"/>
            </w:pPr>
          </w:p>
        </w:tc>
        <w:tc>
          <w:tcPr>
            <w:tcW w:w="4297" w:type="dxa"/>
          </w:tcPr>
          <w:p w14:paraId="22A391A9" w14:textId="5E6BBB99" w:rsidR="00042515" w:rsidRDefault="00042515" w:rsidP="00042515">
            <w:pPr>
              <w:jc w:val="center"/>
            </w:pPr>
            <w:r>
              <w:t>Work</w:t>
            </w:r>
          </w:p>
        </w:tc>
        <w:tc>
          <w:tcPr>
            <w:tcW w:w="568" w:type="dxa"/>
          </w:tcPr>
          <w:p w14:paraId="7CB69EC4" w14:textId="77777777" w:rsidR="00042515" w:rsidRDefault="00042515" w:rsidP="00042515">
            <w:pPr>
              <w:jc w:val="center"/>
            </w:pPr>
          </w:p>
        </w:tc>
        <w:tc>
          <w:tcPr>
            <w:tcW w:w="3414" w:type="dxa"/>
          </w:tcPr>
          <w:p w14:paraId="03B096BF" w14:textId="23AB465A" w:rsidR="00042515" w:rsidRDefault="00042515" w:rsidP="00042515">
            <w:pPr>
              <w:jc w:val="center"/>
            </w:pPr>
            <w:r>
              <w:t>Publications</w:t>
            </w:r>
          </w:p>
        </w:tc>
      </w:tr>
      <w:tr w:rsidR="00052819" w14:paraId="67A6455E" w14:textId="2893BDFB" w:rsidTr="00052819">
        <w:tc>
          <w:tcPr>
            <w:tcW w:w="5395" w:type="dxa"/>
            <w:gridSpan w:val="3"/>
            <w:vMerge w:val="restart"/>
          </w:tcPr>
          <w:p w14:paraId="44B79181" w14:textId="56A9AECB" w:rsidR="00042515" w:rsidRDefault="00042515" w:rsidP="00042515">
            <w:pPr>
              <w:jc w:val="center"/>
            </w:pPr>
            <w:r>
              <w:t>Bachelor of Computer Science</w:t>
            </w:r>
            <w:r>
              <w:br/>
              <w:t>Universitas Sumatera Utara</w:t>
            </w:r>
            <w:r>
              <w:br/>
              <w:t>(01 July 2013 – 25 January 2018)</w:t>
            </w:r>
          </w:p>
        </w:tc>
        <w:tc>
          <w:tcPr>
            <w:tcW w:w="270" w:type="dxa"/>
          </w:tcPr>
          <w:p w14:paraId="2F9A0030" w14:textId="391532C6" w:rsidR="00042515" w:rsidRPr="000F5A98" w:rsidRDefault="00042515" w:rsidP="00042515">
            <w:pPr>
              <w:jc w:val="center"/>
              <w:rPr>
                <w:sz w:val="20"/>
                <w:szCs w:val="20"/>
              </w:rPr>
            </w:pPr>
            <w:r w:rsidRPr="000F5A98">
              <w:rPr>
                <w:sz w:val="20"/>
                <w:szCs w:val="20"/>
              </w:rPr>
              <w:t>2013</w:t>
            </w:r>
          </w:p>
        </w:tc>
        <w:tc>
          <w:tcPr>
            <w:tcW w:w="4297" w:type="dxa"/>
          </w:tcPr>
          <w:p w14:paraId="5155E7B1" w14:textId="770901E1" w:rsidR="00042515" w:rsidRDefault="00042515" w:rsidP="00042515">
            <w:pPr>
              <w:jc w:val="center"/>
            </w:pPr>
          </w:p>
        </w:tc>
        <w:tc>
          <w:tcPr>
            <w:tcW w:w="568" w:type="dxa"/>
          </w:tcPr>
          <w:p w14:paraId="650488B2" w14:textId="041BE64C" w:rsidR="00042515" w:rsidRPr="000F5A98" w:rsidRDefault="00694AD9" w:rsidP="00042515">
            <w:pPr>
              <w:jc w:val="center"/>
              <w:rPr>
                <w:sz w:val="16"/>
                <w:szCs w:val="16"/>
              </w:rPr>
            </w:pPr>
            <w:r w:rsidRPr="000F5A98">
              <w:rPr>
                <w:sz w:val="16"/>
                <w:szCs w:val="16"/>
              </w:rPr>
              <w:t>2013</w:t>
            </w:r>
          </w:p>
        </w:tc>
        <w:tc>
          <w:tcPr>
            <w:tcW w:w="3414" w:type="dxa"/>
          </w:tcPr>
          <w:p w14:paraId="46EC208C" w14:textId="04F5CEA0" w:rsidR="00042515" w:rsidRDefault="00042515" w:rsidP="00042515">
            <w:pPr>
              <w:jc w:val="center"/>
            </w:pPr>
          </w:p>
        </w:tc>
      </w:tr>
      <w:tr w:rsidR="00052819" w14:paraId="67D8B3B0" w14:textId="6BA976F2" w:rsidTr="00052819">
        <w:tc>
          <w:tcPr>
            <w:tcW w:w="5395" w:type="dxa"/>
            <w:gridSpan w:val="3"/>
            <w:vMerge/>
          </w:tcPr>
          <w:p w14:paraId="70C01FB5" w14:textId="77777777" w:rsidR="00042515" w:rsidRDefault="00042515" w:rsidP="00042515">
            <w:pPr>
              <w:jc w:val="center"/>
            </w:pPr>
          </w:p>
        </w:tc>
        <w:tc>
          <w:tcPr>
            <w:tcW w:w="270" w:type="dxa"/>
          </w:tcPr>
          <w:p w14:paraId="79E9171F" w14:textId="7940DA4C" w:rsidR="00042515" w:rsidRPr="000F5A98" w:rsidRDefault="00042515" w:rsidP="00042515">
            <w:pPr>
              <w:jc w:val="center"/>
              <w:rPr>
                <w:sz w:val="20"/>
                <w:szCs w:val="20"/>
              </w:rPr>
            </w:pPr>
            <w:r w:rsidRPr="000F5A98">
              <w:rPr>
                <w:sz w:val="20"/>
                <w:szCs w:val="20"/>
              </w:rPr>
              <w:t>2014</w:t>
            </w:r>
          </w:p>
        </w:tc>
        <w:tc>
          <w:tcPr>
            <w:tcW w:w="4297" w:type="dxa"/>
          </w:tcPr>
          <w:p w14:paraId="158D4690" w14:textId="59CB1755" w:rsidR="00042515" w:rsidRDefault="00042515" w:rsidP="00042515">
            <w:pPr>
              <w:jc w:val="center"/>
            </w:pPr>
          </w:p>
        </w:tc>
        <w:tc>
          <w:tcPr>
            <w:tcW w:w="568" w:type="dxa"/>
          </w:tcPr>
          <w:p w14:paraId="7822B35A" w14:textId="71C8828C" w:rsidR="00042515" w:rsidRPr="000F5A98" w:rsidRDefault="00042515" w:rsidP="00042515">
            <w:pPr>
              <w:jc w:val="center"/>
              <w:rPr>
                <w:sz w:val="16"/>
                <w:szCs w:val="16"/>
              </w:rPr>
            </w:pPr>
            <w:r w:rsidRPr="000F5A98">
              <w:rPr>
                <w:sz w:val="16"/>
                <w:szCs w:val="16"/>
              </w:rPr>
              <w:t>2014</w:t>
            </w:r>
          </w:p>
        </w:tc>
        <w:tc>
          <w:tcPr>
            <w:tcW w:w="3414" w:type="dxa"/>
          </w:tcPr>
          <w:p w14:paraId="5F4504D1" w14:textId="79FCF3D2" w:rsidR="00042515" w:rsidRDefault="00042515" w:rsidP="00042515">
            <w:pPr>
              <w:jc w:val="center"/>
            </w:pPr>
          </w:p>
        </w:tc>
      </w:tr>
      <w:tr w:rsidR="00052819" w14:paraId="1C93D2F2" w14:textId="75D6BD22" w:rsidTr="00052819">
        <w:tc>
          <w:tcPr>
            <w:tcW w:w="5395" w:type="dxa"/>
            <w:gridSpan w:val="3"/>
            <w:vMerge/>
          </w:tcPr>
          <w:p w14:paraId="7F725BAC" w14:textId="77777777" w:rsidR="00042515" w:rsidRDefault="00042515" w:rsidP="00042515">
            <w:pPr>
              <w:jc w:val="center"/>
            </w:pPr>
          </w:p>
        </w:tc>
        <w:tc>
          <w:tcPr>
            <w:tcW w:w="270" w:type="dxa"/>
          </w:tcPr>
          <w:p w14:paraId="04BBF5B9" w14:textId="073F5833" w:rsidR="00042515" w:rsidRPr="000F5A98" w:rsidRDefault="00042515" w:rsidP="00042515">
            <w:pPr>
              <w:jc w:val="center"/>
              <w:rPr>
                <w:sz w:val="20"/>
                <w:szCs w:val="20"/>
              </w:rPr>
            </w:pPr>
            <w:r w:rsidRPr="000F5A98">
              <w:rPr>
                <w:sz w:val="20"/>
                <w:szCs w:val="20"/>
              </w:rPr>
              <w:t>2015</w:t>
            </w:r>
          </w:p>
        </w:tc>
        <w:tc>
          <w:tcPr>
            <w:tcW w:w="4297" w:type="dxa"/>
            <w:vMerge w:val="restart"/>
          </w:tcPr>
          <w:p w14:paraId="690B27BE" w14:textId="77777777" w:rsidR="00042515" w:rsidRPr="00042515" w:rsidRDefault="00042515" w:rsidP="00042515">
            <w:pPr>
              <w:jc w:val="center"/>
            </w:pPr>
            <w:r w:rsidRPr="00042515">
              <w:t>Teaching Assistant</w:t>
            </w:r>
          </w:p>
          <w:p w14:paraId="020F55D8" w14:textId="77777777" w:rsidR="00AA45EF" w:rsidRDefault="00042515" w:rsidP="00AA45EF">
            <w:pPr>
              <w:jc w:val="center"/>
            </w:pPr>
            <w:r w:rsidRPr="00042515">
              <w:t>Universitas Sumatera Utara</w:t>
            </w:r>
          </w:p>
          <w:p w14:paraId="6133D589" w14:textId="79A23B5B" w:rsidR="00042515" w:rsidRDefault="00AA45EF" w:rsidP="00AA45EF">
            <w:pPr>
              <w:jc w:val="center"/>
            </w:pPr>
            <w:r w:rsidRPr="00AA45EF">
              <w:t xml:space="preserve">Medan, </w:t>
            </w:r>
            <w:r>
              <w:t>Indonesia</w:t>
            </w:r>
            <w:r w:rsidR="00042515" w:rsidRPr="00042515">
              <w:br/>
              <w:t xml:space="preserve">(01 </w:t>
            </w:r>
            <w:r w:rsidR="00042515" w:rsidRPr="00042515">
              <w:t>September</w:t>
            </w:r>
            <w:r w:rsidR="00042515" w:rsidRPr="00042515">
              <w:t xml:space="preserve"> 201</w:t>
            </w:r>
            <w:r w:rsidR="00042515" w:rsidRPr="00042515">
              <w:t>5</w:t>
            </w:r>
            <w:r w:rsidR="00042515" w:rsidRPr="00042515">
              <w:t xml:space="preserve"> – </w:t>
            </w:r>
            <w:r w:rsidR="00042515" w:rsidRPr="00042515">
              <w:t>31</w:t>
            </w:r>
            <w:r w:rsidR="00042515" w:rsidRPr="00042515">
              <w:t xml:space="preserve"> </w:t>
            </w:r>
            <w:r w:rsidR="00042515" w:rsidRPr="00042515">
              <w:t>August</w:t>
            </w:r>
            <w:r w:rsidR="00042515" w:rsidRPr="00042515">
              <w:t xml:space="preserve"> 201</w:t>
            </w:r>
            <w:r w:rsidR="00042515" w:rsidRPr="00042515">
              <w:t>7</w:t>
            </w:r>
            <w:r w:rsidR="00042515" w:rsidRPr="00042515">
              <w:t>)</w:t>
            </w:r>
          </w:p>
        </w:tc>
        <w:tc>
          <w:tcPr>
            <w:tcW w:w="568" w:type="dxa"/>
          </w:tcPr>
          <w:p w14:paraId="5CF2CA76" w14:textId="344536A3" w:rsidR="00042515" w:rsidRPr="000F5A98" w:rsidRDefault="00042515" w:rsidP="00042515">
            <w:pPr>
              <w:jc w:val="center"/>
              <w:rPr>
                <w:sz w:val="16"/>
                <w:szCs w:val="16"/>
              </w:rPr>
            </w:pPr>
            <w:r w:rsidRPr="000F5A98">
              <w:rPr>
                <w:sz w:val="16"/>
                <w:szCs w:val="16"/>
              </w:rPr>
              <w:t>2015</w:t>
            </w:r>
          </w:p>
        </w:tc>
        <w:tc>
          <w:tcPr>
            <w:tcW w:w="3414" w:type="dxa"/>
          </w:tcPr>
          <w:p w14:paraId="4A22C12E" w14:textId="66476B78" w:rsidR="00042515" w:rsidRDefault="00042515" w:rsidP="00042515">
            <w:pPr>
              <w:jc w:val="center"/>
            </w:pPr>
          </w:p>
        </w:tc>
      </w:tr>
      <w:tr w:rsidR="00052819" w14:paraId="5AAA34EC" w14:textId="3259D70E" w:rsidTr="00052819">
        <w:tc>
          <w:tcPr>
            <w:tcW w:w="5395" w:type="dxa"/>
            <w:gridSpan w:val="3"/>
            <w:vMerge/>
          </w:tcPr>
          <w:p w14:paraId="6E105026" w14:textId="77777777" w:rsidR="00042515" w:rsidRDefault="00042515" w:rsidP="00042515">
            <w:pPr>
              <w:jc w:val="center"/>
            </w:pPr>
          </w:p>
        </w:tc>
        <w:tc>
          <w:tcPr>
            <w:tcW w:w="270" w:type="dxa"/>
          </w:tcPr>
          <w:p w14:paraId="41B9C892" w14:textId="7295979E" w:rsidR="00042515" w:rsidRPr="000F5A98" w:rsidRDefault="00042515" w:rsidP="00042515">
            <w:pPr>
              <w:jc w:val="center"/>
              <w:rPr>
                <w:sz w:val="20"/>
                <w:szCs w:val="20"/>
              </w:rPr>
            </w:pPr>
            <w:r w:rsidRPr="000F5A98">
              <w:rPr>
                <w:sz w:val="20"/>
                <w:szCs w:val="20"/>
              </w:rPr>
              <w:t>2016</w:t>
            </w:r>
          </w:p>
        </w:tc>
        <w:tc>
          <w:tcPr>
            <w:tcW w:w="4297" w:type="dxa"/>
            <w:vMerge/>
          </w:tcPr>
          <w:p w14:paraId="02DFB187" w14:textId="7C7EFF13" w:rsidR="00042515" w:rsidRDefault="00042515" w:rsidP="00042515">
            <w:pPr>
              <w:jc w:val="center"/>
            </w:pPr>
          </w:p>
        </w:tc>
        <w:tc>
          <w:tcPr>
            <w:tcW w:w="568" w:type="dxa"/>
          </w:tcPr>
          <w:p w14:paraId="6E48C6E1" w14:textId="5E4DD5C4" w:rsidR="00042515" w:rsidRPr="000F5A98" w:rsidRDefault="00042515" w:rsidP="00042515">
            <w:pPr>
              <w:jc w:val="center"/>
              <w:rPr>
                <w:sz w:val="16"/>
                <w:szCs w:val="16"/>
              </w:rPr>
            </w:pPr>
            <w:r w:rsidRPr="000F5A98">
              <w:rPr>
                <w:sz w:val="16"/>
                <w:szCs w:val="16"/>
              </w:rPr>
              <w:t>2016</w:t>
            </w:r>
          </w:p>
        </w:tc>
        <w:tc>
          <w:tcPr>
            <w:tcW w:w="3414" w:type="dxa"/>
          </w:tcPr>
          <w:p w14:paraId="3B9C09A8" w14:textId="694DF1F9" w:rsidR="00042515" w:rsidRPr="00042515" w:rsidRDefault="00042515" w:rsidP="00042515">
            <w:pPr>
              <w:jc w:val="center"/>
              <w:rPr>
                <w:sz w:val="20"/>
                <w:szCs w:val="20"/>
              </w:rPr>
            </w:pPr>
            <w:proofErr w:type="spellStart"/>
            <w:r w:rsidRPr="00042515">
              <w:rPr>
                <w:sz w:val="20"/>
                <w:szCs w:val="20"/>
              </w:rPr>
              <w:t>Seniman</w:t>
            </w:r>
            <w:proofErr w:type="spellEnd"/>
            <w:r w:rsidRPr="00042515">
              <w:rPr>
                <w:sz w:val="20"/>
                <w:szCs w:val="20"/>
              </w:rPr>
              <w:t xml:space="preserve"> et al. Data Communication and Computer Networks (Practical) Handbook. internal use of Technology Information Department, Universitas Sumatera Utara. Medan: </w:t>
            </w:r>
            <w:proofErr w:type="spellStart"/>
            <w:r w:rsidRPr="00042515">
              <w:rPr>
                <w:sz w:val="20"/>
                <w:szCs w:val="20"/>
              </w:rPr>
              <w:t>Percetakan</w:t>
            </w:r>
            <w:proofErr w:type="spellEnd"/>
            <w:r w:rsidRPr="00042515">
              <w:rPr>
                <w:sz w:val="20"/>
                <w:szCs w:val="20"/>
              </w:rPr>
              <w:t xml:space="preserve"> </w:t>
            </w:r>
            <w:proofErr w:type="spellStart"/>
            <w:r w:rsidRPr="00042515">
              <w:rPr>
                <w:sz w:val="20"/>
                <w:szCs w:val="20"/>
              </w:rPr>
              <w:t>Bumibaru</w:t>
            </w:r>
            <w:proofErr w:type="spellEnd"/>
            <w:r w:rsidRPr="00042515">
              <w:rPr>
                <w:sz w:val="20"/>
                <w:szCs w:val="20"/>
              </w:rPr>
              <w:t>, 2016.</w:t>
            </w:r>
          </w:p>
        </w:tc>
      </w:tr>
      <w:tr w:rsidR="00052819" w14:paraId="45D633A7" w14:textId="6C2B3624" w:rsidTr="00052819">
        <w:tc>
          <w:tcPr>
            <w:tcW w:w="5395" w:type="dxa"/>
            <w:gridSpan w:val="3"/>
            <w:vMerge/>
          </w:tcPr>
          <w:p w14:paraId="4EBD3A5F" w14:textId="77777777" w:rsidR="00042515" w:rsidRDefault="00042515" w:rsidP="00042515">
            <w:pPr>
              <w:jc w:val="center"/>
            </w:pPr>
          </w:p>
        </w:tc>
        <w:tc>
          <w:tcPr>
            <w:tcW w:w="270" w:type="dxa"/>
          </w:tcPr>
          <w:p w14:paraId="19EE236A" w14:textId="6DA61236" w:rsidR="00042515" w:rsidRPr="000F5A98" w:rsidRDefault="00042515" w:rsidP="00042515">
            <w:pPr>
              <w:jc w:val="center"/>
              <w:rPr>
                <w:sz w:val="20"/>
                <w:szCs w:val="20"/>
              </w:rPr>
            </w:pPr>
            <w:r w:rsidRPr="000F5A98">
              <w:rPr>
                <w:sz w:val="20"/>
                <w:szCs w:val="20"/>
              </w:rPr>
              <w:t>2017</w:t>
            </w:r>
          </w:p>
        </w:tc>
        <w:tc>
          <w:tcPr>
            <w:tcW w:w="4297" w:type="dxa"/>
            <w:vMerge/>
          </w:tcPr>
          <w:p w14:paraId="4C7529EC" w14:textId="335B4EC3" w:rsidR="00042515" w:rsidRDefault="00042515" w:rsidP="00042515">
            <w:pPr>
              <w:jc w:val="center"/>
            </w:pPr>
          </w:p>
        </w:tc>
        <w:tc>
          <w:tcPr>
            <w:tcW w:w="568" w:type="dxa"/>
          </w:tcPr>
          <w:p w14:paraId="73299CF3" w14:textId="6B0EB623" w:rsidR="00042515" w:rsidRPr="000F5A98" w:rsidRDefault="00042515" w:rsidP="00042515">
            <w:pPr>
              <w:jc w:val="center"/>
              <w:rPr>
                <w:sz w:val="16"/>
                <w:szCs w:val="16"/>
              </w:rPr>
            </w:pPr>
            <w:r w:rsidRPr="000F5A98">
              <w:rPr>
                <w:sz w:val="16"/>
                <w:szCs w:val="16"/>
              </w:rPr>
              <w:t>2017</w:t>
            </w:r>
          </w:p>
        </w:tc>
        <w:tc>
          <w:tcPr>
            <w:tcW w:w="3414" w:type="dxa"/>
          </w:tcPr>
          <w:p w14:paraId="50C8E130" w14:textId="79029561" w:rsidR="00042515" w:rsidRPr="00042515" w:rsidRDefault="00042515" w:rsidP="00042515">
            <w:pPr>
              <w:jc w:val="center"/>
              <w:rPr>
                <w:sz w:val="20"/>
                <w:szCs w:val="20"/>
              </w:rPr>
            </w:pPr>
            <w:proofErr w:type="spellStart"/>
            <w:r w:rsidRPr="00042515">
              <w:rPr>
                <w:sz w:val="20"/>
                <w:szCs w:val="20"/>
              </w:rPr>
              <w:t>Opim</w:t>
            </w:r>
            <w:proofErr w:type="spellEnd"/>
            <w:r w:rsidRPr="00042515">
              <w:rPr>
                <w:sz w:val="20"/>
                <w:szCs w:val="20"/>
              </w:rPr>
              <w:t xml:space="preserve"> Salim </w:t>
            </w:r>
            <w:proofErr w:type="spellStart"/>
            <w:r w:rsidRPr="00042515">
              <w:rPr>
                <w:sz w:val="20"/>
                <w:szCs w:val="20"/>
              </w:rPr>
              <w:t>Sitompul</w:t>
            </w:r>
            <w:proofErr w:type="spellEnd"/>
            <w:r w:rsidRPr="00042515">
              <w:rPr>
                <w:sz w:val="20"/>
                <w:szCs w:val="20"/>
              </w:rPr>
              <w:t xml:space="preserve"> et al. Fundamentals of Artificial Intelligence with Prolog (Second Revision). internal use of Technology Information Department, Universitas Sumatera Utara. Medan: USU Press, 2017. </w:t>
            </w:r>
            <w:proofErr w:type="spellStart"/>
            <w:r w:rsidRPr="00042515">
              <w:rPr>
                <w:sz w:val="20"/>
                <w:szCs w:val="20"/>
              </w:rPr>
              <w:t>isbn</w:t>
            </w:r>
            <w:proofErr w:type="spellEnd"/>
            <w:r w:rsidRPr="00042515">
              <w:rPr>
                <w:sz w:val="20"/>
                <w:szCs w:val="20"/>
              </w:rPr>
              <w:t>: 979-458-960-8.</w:t>
            </w:r>
          </w:p>
        </w:tc>
      </w:tr>
      <w:tr w:rsidR="000F5A98" w14:paraId="62A820EC" w14:textId="4573CDAC" w:rsidTr="00052819">
        <w:tc>
          <w:tcPr>
            <w:tcW w:w="5395" w:type="dxa"/>
            <w:gridSpan w:val="3"/>
            <w:vMerge/>
          </w:tcPr>
          <w:p w14:paraId="45885D3E" w14:textId="77777777" w:rsidR="00AA45EF" w:rsidRDefault="00AA45EF" w:rsidP="00694AD9">
            <w:pPr>
              <w:jc w:val="center"/>
            </w:pPr>
          </w:p>
        </w:tc>
        <w:tc>
          <w:tcPr>
            <w:tcW w:w="270" w:type="dxa"/>
          </w:tcPr>
          <w:p w14:paraId="7B71F1FE" w14:textId="635BA22D" w:rsidR="00AA45EF" w:rsidRPr="000F5A98" w:rsidRDefault="00AA45EF" w:rsidP="00694AD9">
            <w:pPr>
              <w:jc w:val="center"/>
              <w:rPr>
                <w:sz w:val="20"/>
                <w:szCs w:val="20"/>
              </w:rPr>
            </w:pPr>
            <w:r w:rsidRPr="000F5A98">
              <w:rPr>
                <w:sz w:val="20"/>
                <w:szCs w:val="20"/>
              </w:rPr>
              <w:t>2018</w:t>
            </w:r>
          </w:p>
        </w:tc>
        <w:tc>
          <w:tcPr>
            <w:tcW w:w="4297" w:type="dxa"/>
            <w:vMerge w:val="restart"/>
          </w:tcPr>
          <w:p w14:paraId="0B3A6663" w14:textId="77777777" w:rsidR="00AA45EF" w:rsidRDefault="00AA45EF" w:rsidP="00694AD9">
            <w:pPr>
              <w:jc w:val="center"/>
            </w:pPr>
            <w:r w:rsidRPr="00AA45EF">
              <w:t xml:space="preserve">Wilmar Consultancy Services </w:t>
            </w:r>
          </w:p>
          <w:p w14:paraId="12745D89" w14:textId="77777777" w:rsidR="00AA45EF" w:rsidRDefault="00AA45EF" w:rsidP="00694AD9">
            <w:pPr>
              <w:jc w:val="center"/>
            </w:pPr>
            <w:r w:rsidRPr="00AA45EF">
              <w:t xml:space="preserve">Full Stack Software Engineer </w:t>
            </w:r>
          </w:p>
          <w:p w14:paraId="34D9173E" w14:textId="00F05D66" w:rsidR="00AA45EF" w:rsidRDefault="00AA45EF" w:rsidP="00694AD9">
            <w:pPr>
              <w:jc w:val="center"/>
            </w:pPr>
            <w:r w:rsidRPr="00AA45EF">
              <w:t xml:space="preserve">Medan, </w:t>
            </w:r>
            <w:r>
              <w:t>Indonesia</w:t>
            </w:r>
          </w:p>
          <w:p w14:paraId="1B6DE99E" w14:textId="0D873033" w:rsidR="00AA45EF" w:rsidRDefault="00AA45EF" w:rsidP="00694AD9">
            <w:pPr>
              <w:jc w:val="center"/>
            </w:pPr>
            <w:r>
              <w:t xml:space="preserve">02 </w:t>
            </w:r>
            <w:r w:rsidRPr="00AA45EF">
              <w:t xml:space="preserve">July 2018 – </w:t>
            </w:r>
            <w:r>
              <w:t xml:space="preserve">31 </w:t>
            </w:r>
            <w:r w:rsidRPr="00AA45EF">
              <w:t>May 2022</w:t>
            </w:r>
          </w:p>
        </w:tc>
        <w:tc>
          <w:tcPr>
            <w:tcW w:w="568" w:type="dxa"/>
          </w:tcPr>
          <w:p w14:paraId="5A303839" w14:textId="2E6E592C" w:rsidR="00AA45EF" w:rsidRPr="000F5A98" w:rsidRDefault="00AA45EF" w:rsidP="00694AD9">
            <w:pPr>
              <w:jc w:val="center"/>
              <w:rPr>
                <w:sz w:val="16"/>
                <w:szCs w:val="16"/>
              </w:rPr>
            </w:pPr>
            <w:r w:rsidRPr="000F5A98">
              <w:rPr>
                <w:sz w:val="16"/>
                <w:szCs w:val="16"/>
              </w:rPr>
              <w:t>2018</w:t>
            </w:r>
          </w:p>
        </w:tc>
        <w:tc>
          <w:tcPr>
            <w:tcW w:w="3414" w:type="dxa"/>
          </w:tcPr>
          <w:p w14:paraId="06A61428" w14:textId="7DA43C58" w:rsidR="00AA45EF" w:rsidRPr="00694AD9" w:rsidRDefault="00AA45EF" w:rsidP="00694AD9">
            <w:pPr>
              <w:jc w:val="center"/>
              <w:rPr>
                <w:sz w:val="20"/>
                <w:szCs w:val="20"/>
              </w:rPr>
            </w:pPr>
            <w:r w:rsidRPr="00694AD9">
              <w:rPr>
                <w:sz w:val="20"/>
                <w:szCs w:val="20"/>
              </w:rPr>
              <w:t>Aprilia, C. (2018). </w:t>
            </w:r>
            <w:proofErr w:type="spellStart"/>
            <w:r w:rsidRPr="00694AD9">
              <w:rPr>
                <w:i/>
                <w:iCs/>
                <w:sz w:val="20"/>
                <w:szCs w:val="20"/>
              </w:rPr>
              <w:t>Klasifikasi</w:t>
            </w:r>
            <w:proofErr w:type="spellEnd"/>
            <w:r w:rsidRPr="00694AD9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4AD9">
              <w:rPr>
                <w:i/>
                <w:iCs/>
                <w:sz w:val="20"/>
                <w:szCs w:val="20"/>
              </w:rPr>
              <w:t>Kecerdasan</w:t>
            </w:r>
            <w:proofErr w:type="spellEnd"/>
            <w:r w:rsidRPr="00694AD9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4AD9">
              <w:rPr>
                <w:i/>
                <w:iCs/>
                <w:sz w:val="20"/>
                <w:szCs w:val="20"/>
              </w:rPr>
              <w:t>Majemuk</w:t>
            </w:r>
            <w:proofErr w:type="spellEnd"/>
            <w:r w:rsidRPr="00694AD9">
              <w:rPr>
                <w:i/>
                <w:iCs/>
                <w:sz w:val="20"/>
                <w:szCs w:val="20"/>
              </w:rPr>
              <w:t xml:space="preserve"> pada Anak </w:t>
            </w:r>
            <w:proofErr w:type="spellStart"/>
            <w:r w:rsidRPr="00694AD9">
              <w:rPr>
                <w:i/>
                <w:iCs/>
                <w:sz w:val="20"/>
                <w:szCs w:val="20"/>
              </w:rPr>
              <w:t>Berdasarkan</w:t>
            </w:r>
            <w:proofErr w:type="spellEnd"/>
            <w:r w:rsidRPr="00694AD9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4AD9">
              <w:rPr>
                <w:i/>
                <w:iCs/>
                <w:sz w:val="20"/>
                <w:szCs w:val="20"/>
              </w:rPr>
              <w:t>Aktivitas</w:t>
            </w:r>
            <w:proofErr w:type="spellEnd"/>
            <w:r w:rsidRPr="00694AD9">
              <w:rPr>
                <w:i/>
                <w:iCs/>
                <w:sz w:val="20"/>
                <w:szCs w:val="20"/>
              </w:rPr>
              <w:t xml:space="preserve"> Posting di </w:t>
            </w:r>
            <w:proofErr w:type="spellStart"/>
            <w:r w:rsidRPr="00694AD9">
              <w:rPr>
                <w:i/>
                <w:iCs/>
                <w:sz w:val="20"/>
                <w:szCs w:val="20"/>
              </w:rPr>
              <w:t>Sosial</w:t>
            </w:r>
            <w:proofErr w:type="spellEnd"/>
            <w:r w:rsidRPr="00694AD9">
              <w:rPr>
                <w:i/>
                <w:iCs/>
                <w:sz w:val="20"/>
                <w:szCs w:val="20"/>
              </w:rPr>
              <w:t xml:space="preserve"> Media </w:t>
            </w:r>
            <w:proofErr w:type="spellStart"/>
            <w:r w:rsidRPr="00694AD9">
              <w:rPr>
                <w:i/>
                <w:iCs/>
                <w:sz w:val="20"/>
                <w:szCs w:val="20"/>
              </w:rPr>
              <w:t>dengan</w:t>
            </w:r>
            <w:proofErr w:type="spellEnd"/>
            <w:r w:rsidRPr="00694AD9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4AD9">
              <w:rPr>
                <w:i/>
                <w:iCs/>
                <w:sz w:val="20"/>
                <w:szCs w:val="20"/>
              </w:rPr>
              <w:t>Menggunakan</w:t>
            </w:r>
            <w:proofErr w:type="spellEnd"/>
            <w:r w:rsidRPr="00694AD9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4AD9">
              <w:rPr>
                <w:i/>
                <w:iCs/>
                <w:sz w:val="20"/>
                <w:szCs w:val="20"/>
              </w:rPr>
              <w:t>Sentistrength</w:t>
            </w:r>
            <w:proofErr w:type="spellEnd"/>
            <w:r w:rsidRPr="00694AD9">
              <w:rPr>
                <w:i/>
                <w:iCs/>
                <w:sz w:val="20"/>
                <w:szCs w:val="20"/>
              </w:rPr>
              <w:t xml:space="preserve"> dan Spearman's Rank Correlation Coefficient</w:t>
            </w:r>
            <w:r w:rsidRPr="00694AD9">
              <w:rPr>
                <w:sz w:val="20"/>
                <w:szCs w:val="20"/>
              </w:rPr>
              <w:t> (Doctoral dissertation, Universitas Sumatera Utara).</w:t>
            </w:r>
          </w:p>
        </w:tc>
      </w:tr>
      <w:tr w:rsidR="000F5A98" w14:paraId="0649722D" w14:textId="2C5FFFC0" w:rsidTr="00052819">
        <w:tc>
          <w:tcPr>
            <w:tcW w:w="5395" w:type="dxa"/>
            <w:gridSpan w:val="3"/>
          </w:tcPr>
          <w:p w14:paraId="6703E55C" w14:textId="77777777" w:rsidR="00AA45EF" w:rsidRDefault="00AA45EF" w:rsidP="00694AD9">
            <w:pPr>
              <w:jc w:val="center"/>
            </w:pPr>
          </w:p>
        </w:tc>
        <w:tc>
          <w:tcPr>
            <w:tcW w:w="270" w:type="dxa"/>
          </w:tcPr>
          <w:p w14:paraId="6952BB61" w14:textId="4D6990D5" w:rsidR="00AA45EF" w:rsidRPr="000F5A98" w:rsidRDefault="00AA45EF" w:rsidP="00694AD9">
            <w:pPr>
              <w:jc w:val="center"/>
              <w:rPr>
                <w:sz w:val="20"/>
                <w:szCs w:val="20"/>
              </w:rPr>
            </w:pPr>
            <w:r w:rsidRPr="000F5A98">
              <w:rPr>
                <w:sz w:val="20"/>
                <w:szCs w:val="20"/>
              </w:rPr>
              <w:t>2019</w:t>
            </w:r>
          </w:p>
        </w:tc>
        <w:tc>
          <w:tcPr>
            <w:tcW w:w="4297" w:type="dxa"/>
            <w:vMerge/>
          </w:tcPr>
          <w:p w14:paraId="1B82DC48" w14:textId="5D5D8F63" w:rsidR="00AA45EF" w:rsidRDefault="00AA45EF" w:rsidP="00694AD9">
            <w:pPr>
              <w:jc w:val="center"/>
            </w:pPr>
          </w:p>
        </w:tc>
        <w:tc>
          <w:tcPr>
            <w:tcW w:w="568" w:type="dxa"/>
          </w:tcPr>
          <w:p w14:paraId="500737A0" w14:textId="075BF2B2" w:rsidR="00AA45EF" w:rsidRPr="000F5A98" w:rsidRDefault="00AA45EF" w:rsidP="00694AD9">
            <w:pPr>
              <w:jc w:val="center"/>
              <w:rPr>
                <w:sz w:val="16"/>
                <w:szCs w:val="16"/>
              </w:rPr>
            </w:pPr>
            <w:r w:rsidRPr="000F5A98">
              <w:rPr>
                <w:sz w:val="16"/>
                <w:szCs w:val="16"/>
              </w:rPr>
              <w:t>2019</w:t>
            </w:r>
          </w:p>
        </w:tc>
        <w:tc>
          <w:tcPr>
            <w:tcW w:w="3414" w:type="dxa"/>
          </w:tcPr>
          <w:p w14:paraId="79E32B95" w14:textId="66E8FC7D" w:rsidR="00AA45EF" w:rsidRPr="00694AD9" w:rsidRDefault="00AA45EF" w:rsidP="00694AD9">
            <w:pPr>
              <w:jc w:val="center"/>
              <w:rPr>
                <w:sz w:val="20"/>
                <w:szCs w:val="20"/>
              </w:rPr>
            </w:pPr>
            <w:proofErr w:type="spellStart"/>
            <w:r w:rsidRPr="00694AD9">
              <w:rPr>
                <w:sz w:val="20"/>
                <w:szCs w:val="20"/>
              </w:rPr>
              <w:t>Baihaqi</w:t>
            </w:r>
            <w:proofErr w:type="spellEnd"/>
            <w:r w:rsidRPr="00694AD9">
              <w:rPr>
                <w:sz w:val="20"/>
                <w:szCs w:val="20"/>
              </w:rPr>
              <w:t xml:space="preserve"> Siregar et al. “</w:t>
            </w:r>
            <w:proofErr w:type="spellStart"/>
            <w:r w:rsidRPr="00694AD9">
              <w:rPr>
                <w:sz w:val="20"/>
                <w:szCs w:val="20"/>
              </w:rPr>
              <w:t>Klasifikasi</w:t>
            </w:r>
            <w:proofErr w:type="spellEnd"/>
            <w:r w:rsidRPr="00694AD9">
              <w:rPr>
                <w:sz w:val="20"/>
                <w:szCs w:val="20"/>
              </w:rPr>
              <w:t xml:space="preserve"> </w:t>
            </w:r>
            <w:proofErr w:type="spellStart"/>
            <w:r w:rsidRPr="00694AD9">
              <w:rPr>
                <w:sz w:val="20"/>
                <w:szCs w:val="20"/>
              </w:rPr>
              <w:t>Kecerdasan</w:t>
            </w:r>
            <w:proofErr w:type="spellEnd"/>
            <w:r w:rsidRPr="00694AD9">
              <w:rPr>
                <w:sz w:val="20"/>
                <w:szCs w:val="20"/>
              </w:rPr>
              <w:t xml:space="preserve"> </w:t>
            </w:r>
            <w:proofErr w:type="spellStart"/>
            <w:r w:rsidRPr="00694AD9">
              <w:rPr>
                <w:sz w:val="20"/>
                <w:szCs w:val="20"/>
              </w:rPr>
              <w:t>Majemuk</w:t>
            </w:r>
            <w:proofErr w:type="spellEnd"/>
            <w:r w:rsidRPr="00694AD9">
              <w:rPr>
                <w:sz w:val="20"/>
                <w:szCs w:val="20"/>
              </w:rPr>
              <w:t xml:space="preserve"> pada Anak </w:t>
            </w:r>
            <w:proofErr w:type="spellStart"/>
            <w:r w:rsidRPr="00694AD9">
              <w:rPr>
                <w:sz w:val="20"/>
                <w:szCs w:val="20"/>
              </w:rPr>
              <w:t>Berdasarkan</w:t>
            </w:r>
            <w:proofErr w:type="spellEnd"/>
            <w:r w:rsidRPr="00694AD9">
              <w:rPr>
                <w:sz w:val="20"/>
                <w:szCs w:val="20"/>
              </w:rPr>
              <w:t xml:space="preserve"> Posting </w:t>
            </w:r>
            <w:proofErr w:type="spellStart"/>
            <w:r w:rsidRPr="00694AD9">
              <w:rPr>
                <w:sz w:val="20"/>
                <w:szCs w:val="20"/>
              </w:rPr>
              <w:t>Aktivitas</w:t>
            </w:r>
            <w:proofErr w:type="spellEnd"/>
            <w:r w:rsidRPr="00694AD9">
              <w:rPr>
                <w:sz w:val="20"/>
                <w:szCs w:val="20"/>
              </w:rPr>
              <w:t xml:space="preserve"> di Media </w:t>
            </w:r>
            <w:proofErr w:type="spellStart"/>
            <w:r w:rsidRPr="00694AD9">
              <w:rPr>
                <w:sz w:val="20"/>
                <w:szCs w:val="20"/>
              </w:rPr>
              <w:t>Sosial</w:t>
            </w:r>
            <w:proofErr w:type="spellEnd"/>
            <w:r w:rsidRPr="00694AD9">
              <w:rPr>
                <w:sz w:val="20"/>
                <w:szCs w:val="20"/>
              </w:rPr>
              <w:t xml:space="preserve"> </w:t>
            </w:r>
            <w:proofErr w:type="spellStart"/>
            <w:r w:rsidRPr="00694AD9">
              <w:rPr>
                <w:sz w:val="20"/>
                <w:szCs w:val="20"/>
              </w:rPr>
              <w:t>Menggunakan</w:t>
            </w:r>
            <w:proofErr w:type="spellEnd"/>
            <w:r w:rsidRPr="00694AD9">
              <w:rPr>
                <w:sz w:val="20"/>
                <w:szCs w:val="20"/>
              </w:rPr>
              <w:t xml:space="preserve"> SentiStrength dan Spearman’s Rank Correlation Coefficient (Classification of Multiple Intelligences in Children Based on Posting Activities on Social Media Using </w:t>
            </w:r>
            <w:proofErr w:type="spellStart"/>
            <w:r w:rsidRPr="00694AD9">
              <w:rPr>
                <w:sz w:val="20"/>
                <w:szCs w:val="20"/>
              </w:rPr>
              <w:t>Sentistrength</w:t>
            </w:r>
            <w:proofErr w:type="spellEnd"/>
            <w:r w:rsidRPr="00694AD9">
              <w:rPr>
                <w:sz w:val="20"/>
                <w:szCs w:val="20"/>
              </w:rPr>
              <w:t xml:space="preserve"> and Spearman’s Rank Correlation Coefficient)”. Em: </w:t>
            </w:r>
            <w:proofErr w:type="spellStart"/>
            <w:r w:rsidRPr="00694AD9">
              <w:rPr>
                <w:sz w:val="20"/>
                <w:szCs w:val="20"/>
              </w:rPr>
              <w:t>Jurnal</w:t>
            </w:r>
            <w:proofErr w:type="spellEnd"/>
            <w:r w:rsidRPr="00694AD9">
              <w:rPr>
                <w:sz w:val="20"/>
                <w:szCs w:val="20"/>
              </w:rPr>
              <w:t xml:space="preserve"> Media </w:t>
            </w:r>
            <w:proofErr w:type="spellStart"/>
            <w:r w:rsidRPr="00694AD9">
              <w:rPr>
                <w:sz w:val="20"/>
                <w:szCs w:val="20"/>
              </w:rPr>
              <w:t>Informatika</w:t>
            </w:r>
            <w:proofErr w:type="spellEnd"/>
            <w:r w:rsidRPr="00694AD9">
              <w:rPr>
                <w:sz w:val="20"/>
                <w:szCs w:val="20"/>
              </w:rPr>
              <w:t xml:space="preserve"> Budidarma 3.4 (2019), pp. 357–365.</w:t>
            </w:r>
          </w:p>
        </w:tc>
      </w:tr>
      <w:tr w:rsidR="000F5A98" w14:paraId="17E83416" w14:textId="1B0BF43C" w:rsidTr="00052819">
        <w:tc>
          <w:tcPr>
            <w:tcW w:w="5395" w:type="dxa"/>
            <w:gridSpan w:val="3"/>
          </w:tcPr>
          <w:p w14:paraId="17ADD264" w14:textId="77777777" w:rsidR="00AA45EF" w:rsidRDefault="00AA45EF" w:rsidP="00694AD9">
            <w:pPr>
              <w:jc w:val="center"/>
            </w:pPr>
          </w:p>
        </w:tc>
        <w:tc>
          <w:tcPr>
            <w:tcW w:w="270" w:type="dxa"/>
          </w:tcPr>
          <w:p w14:paraId="026D1229" w14:textId="65E61837" w:rsidR="00AA45EF" w:rsidRPr="000F5A98" w:rsidRDefault="00AA45EF" w:rsidP="00694AD9">
            <w:pPr>
              <w:jc w:val="center"/>
              <w:rPr>
                <w:sz w:val="20"/>
                <w:szCs w:val="20"/>
              </w:rPr>
            </w:pPr>
            <w:r w:rsidRPr="000F5A98">
              <w:rPr>
                <w:sz w:val="20"/>
                <w:szCs w:val="20"/>
              </w:rPr>
              <w:t>2020</w:t>
            </w:r>
          </w:p>
        </w:tc>
        <w:tc>
          <w:tcPr>
            <w:tcW w:w="4297" w:type="dxa"/>
            <w:vMerge/>
          </w:tcPr>
          <w:p w14:paraId="2D5E5B7A" w14:textId="77777777" w:rsidR="00AA45EF" w:rsidRDefault="00AA45EF" w:rsidP="00694AD9">
            <w:pPr>
              <w:jc w:val="center"/>
            </w:pPr>
          </w:p>
        </w:tc>
        <w:tc>
          <w:tcPr>
            <w:tcW w:w="568" w:type="dxa"/>
          </w:tcPr>
          <w:p w14:paraId="22857BC2" w14:textId="5A510E99" w:rsidR="00AA45EF" w:rsidRPr="000F5A98" w:rsidRDefault="00AA45EF" w:rsidP="00694AD9">
            <w:pPr>
              <w:jc w:val="center"/>
              <w:rPr>
                <w:sz w:val="16"/>
                <w:szCs w:val="16"/>
              </w:rPr>
            </w:pPr>
            <w:r w:rsidRPr="000F5A98">
              <w:rPr>
                <w:sz w:val="16"/>
                <w:szCs w:val="16"/>
              </w:rPr>
              <w:t>2020</w:t>
            </w:r>
          </w:p>
        </w:tc>
        <w:tc>
          <w:tcPr>
            <w:tcW w:w="3414" w:type="dxa"/>
          </w:tcPr>
          <w:p w14:paraId="34A55413" w14:textId="3FEDD808" w:rsidR="00AA45EF" w:rsidRDefault="00AA45EF" w:rsidP="00694AD9">
            <w:pPr>
              <w:jc w:val="center"/>
            </w:pPr>
          </w:p>
        </w:tc>
      </w:tr>
      <w:tr w:rsidR="000F5A98" w14:paraId="25EDA431" w14:textId="4597322C" w:rsidTr="00052819">
        <w:tc>
          <w:tcPr>
            <w:tcW w:w="5395" w:type="dxa"/>
            <w:gridSpan w:val="3"/>
          </w:tcPr>
          <w:p w14:paraId="1950EDD0" w14:textId="77777777" w:rsidR="00AA45EF" w:rsidRDefault="00AA45EF" w:rsidP="00694AD9">
            <w:pPr>
              <w:jc w:val="center"/>
            </w:pPr>
          </w:p>
        </w:tc>
        <w:tc>
          <w:tcPr>
            <w:tcW w:w="270" w:type="dxa"/>
          </w:tcPr>
          <w:p w14:paraId="50C00B98" w14:textId="473BD1D8" w:rsidR="00AA45EF" w:rsidRPr="000F5A98" w:rsidRDefault="00AA45EF" w:rsidP="00694AD9">
            <w:pPr>
              <w:jc w:val="center"/>
              <w:rPr>
                <w:sz w:val="20"/>
                <w:szCs w:val="20"/>
              </w:rPr>
            </w:pPr>
            <w:r w:rsidRPr="000F5A98">
              <w:rPr>
                <w:sz w:val="20"/>
                <w:szCs w:val="20"/>
              </w:rPr>
              <w:t>2021</w:t>
            </w:r>
          </w:p>
        </w:tc>
        <w:tc>
          <w:tcPr>
            <w:tcW w:w="4297" w:type="dxa"/>
            <w:vMerge/>
          </w:tcPr>
          <w:p w14:paraId="7289A78C" w14:textId="77777777" w:rsidR="00AA45EF" w:rsidRDefault="00AA45EF" w:rsidP="00694AD9">
            <w:pPr>
              <w:jc w:val="center"/>
            </w:pPr>
          </w:p>
        </w:tc>
        <w:tc>
          <w:tcPr>
            <w:tcW w:w="568" w:type="dxa"/>
          </w:tcPr>
          <w:p w14:paraId="182A26F6" w14:textId="76D3B841" w:rsidR="00AA45EF" w:rsidRPr="000F5A98" w:rsidRDefault="00AA45EF" w:rsidP="00694AD9">
            <w:pPr>
              <w:jc w:val="center"/>
              <w:rPr>
                <w:sz w:val="16"/>
                <w:szCs w:val="16"/>
              </w:rPr>
            </w:pPr>
            <w:r w:rsidRPr="000F5A98">
              <w:rPr>
                <w:sz w:val="16"/>
                <w:szCs w:val="16"/>
              </w:rPr>
              <w:t>2021</w:t>
            </w:r>
          </w:p>
        </w:tc>
        <w:tc>
          <w:tcPr>
            <w:tcW w:w="3414" w:type="dxa"/>
          </w:tcPr>
          <w:p w14:paraId="546C9095" w14:textId="75E97493" w:rsidR="00AA45EF" w:rsidRDefault="00AA45EF" w:rsidP="00694AD9">
            <w:pPr>
              <w:jc w:val="center"/>
            </w:pPr>
          </w:p>
        </w:tc>
      </w:tr>
      <w:tr w:rsidR="00F07FB8" w14:paraId="44C05662" w14:textId="63F392B9" w:rsidTr="00052819">
        <w:tc>
          <w:tcPr>
            <w:tcW w:w="1762" w:type="dxa"/>
            <w:vMerge w:val="restart"/>
          </w:tcPr>
          <w:p w14:paraId="231F2065" w14:textId="77777777" w:rsidR="00F07FB8" w:rsidRDefault="00F07FB8" w:rsidP="00694AD9">
            <w:pPr>
              <w:jc w:val="center"/>
            </w:pPr>
            <w:r w:rsidRPr="000F5A98">
              <w:t xml:space="preserve">Università </w:t>
            </w:r>
            <w:proofErr w:type="spellStart"/>
            <w:r w:rsidRPr="000F5A98">
              <w:t>degli</w:t>
            </w:r>
            <w:proofErr w:type="spellEnd"/>
            <w:r w:rsidRPr="000F5A98">
              <w:t xml:space="preserve"> Studi </w:t>
            </w:r>
            <w:proofErr w:type="spellStart"/>
            <w:r w:rsidRPr="000F5A98">
              <w:t>dell’Aquila</w:t>
            </w:r>
            <w:proofErr w:type="spellEnd"/>
          </w:p>
          <w:p w14:paraId="090B8EE6" w14:textId="77777777" w:rsidR="00F07FB8" w:rsidRDefault="00F07FB8" w:rsidP="00694AD9">
            <w:pPr>
              <w:jc w:val="center"/>
            </w:pPr>
            <w:r w:rsidRPr="000F5A98">
              <w:t xml:space="preserve">L’Aquila, Italy M.Sc. (Joint Erasmus Mundus) Software Engineers </w:t>
            </w:r>
            <w:proofErr w:type="gramStart"/>
            <w:r w:rsidRPr="000F5A98">
              <w:t>For</w:t>
            </w:r>
            <w:proofErr w:type="gramEnd"/>
            <w:r w:rsidRPr="000F5A98">
              <w:t xml:space="preserve"> Green Deal (Sustainability) </w:t>
            </w:r>
          </w:p>
          <w:p w14:paraId="48B8D65F" w14:textId="66132F54" w:rsidR="00F07FB8" w:rsidRDefault="00F07FB8" w:rsidP="00694AD9">
            <w:pPr>
              <w:jc w:val="center"/>
            </w:pPr>
            <w:r w:rsidRPr="000F5A98">
              <w:t>September 2022-August 2024</w:t>
            </w:r>
          </w:p>
        </w:tc>
        <w:tc>
          <w:tcPr>
            <w:tcW w:w="1810" w:type="dxa"/>
            <w:vMerge w:val="restart"/>
          </w:tcPr>
          <w:p w14:paraId="618A7C4B" w14:textId="77777777" w:rsidR="00F07FB8" w:rsidRDefault="00F07FB8" w:rsidP="00694AD9">
            <w:pPr>
              <w:jc w:val="center"/>
            </w:pPr>
            <w:r w:rsidRPr="000F5A98">
              <w:t>LUT University (Lappeenranta-Lahti University of Technology)</w:t>
            </w:r>
          </w:p>
          <w:p w14:paraId="21D9A3D8" w14:textId="77777777" w:rsidR="00F07FB8" w:rsidRDefault="00F07FB8" w:rsidP="00694AD9">
            <w:pPr>
              <w:jc w:val="center"/>
            </w:pPr>
            <w:r w:rsidRPr="000F5A98">
              <w:t>Lappeenranta, Finland</w:t>
            </w:r>
          </w:p>
          <w:p w14:paraId="356F63EB" w14:textId="77777777" w:rsidR="00F07FB8" w:rsidRDefault="00F07FB8" w:rsidP="000F5A98">
            <w:pPr>
              <w:jc w:val="center"/>
            </w:pPr>
            <w:r w:rsidRPr="000F5A98">
              <w:t xml:space="preserve">M.Sc. (Joint Erasmus Mundus) Software Engineers </w:t>
            </w:r>
            <w:proofErr w:type="gramStart"/>
            <w:r w:rsidRPr="000F5A98">
              <w:t>For</w:t>
            </w:r>
            <w:proofErr w:type="gramEnd"/>
            <w:r w:rsidRPr="000F5A98">
              <w:t xml:space="preserve"> Green Deal (Sustainability) </w:t>
            </w:r>
          </w:p>
          <w:p w14:paraId="7604E6DB" w14:textId="0D590F08" w:rsidR="00F07FB8" w:rsidRDefault="00F07FB8" w:rsidP="000F5A98">
            <w:pPr>
              <w:jc w:val="center"/>
            </w:pPr>
            <w:r w:rsidRPr="000F5A98">
              <w:t>September 2022-August 2024</w:t>
            </w:r>
          </w:p>
        </w:tc>
        <w:tc>
          <w:tcPr>
            <w:tcW w:w="1823" w:type="dxa"/>
            <w:vMerge w:val="restart"/>
          </w:tcPr>
          <w:p w14:paraId="6F008A2C" w14:textId="77777777" w:rsidR="00F07FB8" w:rsidRDefault="00F07FB8" w:rsidP="000F5A98">
            <w:pPr>
              <w:jc w:val="center"/>
            </w:pPr>
            <w:r w:rsidRPr="000F5A98">
              <w:t>Vrije Universiteit Amsterdam</w:t>
            </w:r>
          </w:p>
          <w:p w14:paraId="6D1D8152" w14:textId="77777777" w:rsidR="00F07FB8" w:rsidRDefault="00F07FB8" w:rsidP="000F5A98">
            <w:pPr>
              <w:jc w:val="center"/>
            </w:pPr>
            <w:r w:rsidRPr="000F5A98">
              <w:t>Amsterdam, Netherlands</w:t>
            </w:r>
          </w:p>
          <w:p w14:paraId="1FF7171C" w14:textId="77777777" w:rsidR="00F07FB8" w:rsidRDefault="00F07FB8" w:rsidP="000F5A98">
            <w:pPr>
              <w:jc w:val="center"/>
            </w:pPr>
            <w:r w:rsidRPr="000F5A98">
              <w:t xml:space="preserve">M.Sc. (Joint Erasmus Mundus) Software Engineers </w:t>
            </w:r>
            <w:proofErr w:type="gramStart"/>
            <w:r w:rsidRPr="000F5A98">
              <w:t>For</w:t>
            </w:r>
            <w:proofErr w:type="gramEnd"/>
            <w:r w:rsidRPr="000F5A98">
              <w:t xml:space="preserve"> Green Deal (Sustainability) </w:t>
            </w:r>
          </w:p>
          <w:p w14:paraId="600CE9F1" w14:textId="653E4B6F" w:rsidR="00F07FB8" w:rsidRDefault="00F07FB8" w:rsidP="000F5A98">
            <w:pPr>
              <w:jc w:val="center"/>
            </w:pPr>
            <w:r w:rsidRPr="000F5A98">
              <w:t>September 2022-August 2024</w:t>
            </w:r>
          </w:p>
        </w:tc>
        <w:tc>
          <w:tcPr>
            <w:tcW w:w="270" w:type="dxa"/>
          </w:tcPr>
          <w:p w14:paraId="6A77AEE5" w14:textId="5CEE1978" w:rsidR="00F07FB8" w:rsidRPr="000F5A98" w:rsidRDefault="00F07FB8" w:rsidP="00694AD9">
            <w:pPr>
              <w:jc w:val="center"/>
              <w:rPr>
                <w:sz w:val="20"/>
                <w:szCs w:val="20"/>
              </w:rPr>
            </w:pPr>
            <w:r w:rsidRPr="000F5A98">
              <w:rPr>
                <w:sz w:val="20"/>
                <w:szCs w:val="20"/>
              </w:rPr>
              <w:t>2022</w:t>
            </w:r>
          </w:p>
        </w:tc>
        <w:tc>
          <w:tcPr>
            <w:tcW w:w="4297" w:type="dxa"/>
            <w:vMerge/>
          </w:tcPr>
          <w:p w14:paraId="0C7D7A0F" w14:textId="77777777" w:rsidR="00F07FB8" w:rsidRDefault="00F07FB8" w:rsidP="00694AD9">
            <w:pPr>
              <w:jc w:val="center"/>
            </w:pPr>
          </w:p>
        </w:tc>
        <w:tc>
          <w:tcPr>
            <w:tcW w:w="568" w:type="dxa"/>
          </w:tcPr>
          <w:p w14:paraId="4BBC7339" w14:textId="361E488A" w:rsidR="00F07FB8" w:rsidRPr="000F5A98" w:rsidRDefault="00F07FB8" w:rsidP="00694AD9">
            <w:pPr>
              <w:jc w:val="center"/>
              <w:rPr>
                <w:sz w:val="16"/>
                <w:szCs w:val="16"/>
              </w:rPr>
            </w:pPr>
            <w:r w:rsidRPr="000F5A98">
              <w:rPr>
                <w:sz w:val="16"/>
                <w:szCs w:val="16"/>
              </w:rPr>
              <w:t>2022</w:t>
            </w:r>
          </w:p>
        </w:tc>
        <w:tc>
          <w:tcPr>
            <w:tcW w:w="3414" w:type="dxa"/>
          </w:tcPr>
          <w:p w14:paraId="1250A0F2" w14:textId="24257313" w:rsidR="00F07FB8" w:rsidRDefault="00F07FB8" w:rsidP="00694AD9">
            <w:pPr>
              <w:jc w:val="center"/>
            </w:pPr>
          </w:p>
        </w:tc>
      </w:tr>
      <w:tr w:rsidR="00F07FB8" w14:paraId="0FC23ACE" w14:textId="3A3B204F" w:rsidTr="00052819">
        <w:tc>
          <w:tcPr>
            <w:tcW w:w="1762" w:type="dxa"/>
            <w:vMerge/>
          </w:tcPr>
          <w:p w14:paraId="2FF0A475" w14:textId="77777777" w:rsidR="00F07FB8" w:rsidRDefault="00F07FB8" w:rsidP="00694AD9">
            <w:pPr>
              <w:jc w:val="center"/>
            </w:pPr>
          </w:p>
        </w:tc>
        <w:tc>
          <w:tcPr>
            <w:tcW w:w="1810" w:type="dxa"/>
            <w:vMerge/>
          </w:tcPr>
          <w:p w14:paraId="3DE1F4B2" w14:textId="77777777" w:rsidR="00F07FB8" w:rsidRDefault="00F07FB8" w:rsidP="00694AD9">
            <w:pPr>
              <w:jc w:val="center"/>
            </w:pPr>
          </w:p>
        </w:tc>
        <w:tc>
          <w:tcPr>
            <w:tcW w:w="1823" w:type="dxa"/>
            <w:vMerge/>
          </w:tcPr>
          <w:p w14:paraId="718BF429" w14:textId="660A306D" w:rsidR="00F07FB8" w:rsidRDefault="00F07FB8" w:rsidP="00694AD9">
            <w:pPr>
              <w:jc w:val="center"/>
            </w:pPr>
          </w:p>
        </w:tc>
        <w:tc>
          <w:tcPr>
            <w:tcW w:w="270" w:type="dxa"/>
          </w:tcPr>
          <w:p w14:paraId="2122B59E" w14:textId="3553EDCE" w:rsidR="00F07FB8" w:rsidRPr="000F5A98" w:rsidRDefault="00F07FB8" w:rsidP="00694AD9">
            <w:pPr>
              <w:jc w:val="center"/>
              <w:rPr>
                <w:sz w:val="20"/>
                <w:szCs w:val="20"/>
              </w:rPr>
            </w:pPr>
            <w:r w:rsidRPr="000F5A98">
              <w:rPr>
                <w:sz w:val="20"/>
                <w:szCs w:val="20"/>
              </w:rPr>
              <w:t>2023</w:t>
            </w:r>
          </w:p>
        </w:tc>
        <w:tc>
          <w:tcPr>
            <w:tcW w:w="4297" w:type="dxa"/>
          </w:tcPr>
          <w:p w14:paraId="4B9E3774" w14:textId="61769A5A" w:rsidR="00F07FB8" w:rsidRDefault="00F07FB8" w:rsidP="00694AD9">
            <w:pPr>
              <w:jc w:val="center"/>
            </w:pPr>
            <w:r w:rsidRPr="00F07FB8">
              <w:t>SOLITA Finland (WFA) Intern Software Developer April 2023 – June 2023</w:t>
            </w:r>
          </w:p>
        </w:tc>
        <w:tc>
          <w:tcPr>
            <w:tcW w:w="568" w:type="dxa"/>
          </w:tcPr>
          <w:p w14:paraId="03856C92" w14:textId="4C815665" w:rsidR="00F07FB8" w:rsidRPr="000F5A98" w:rsidRDefault="00F07FB8" w:rsidP="00694AD9">
            <w:pPr>
              <w:jc w:val="center"/>
              <w:rPr>
                <w:sz w:val="16"/>
                <w:szCs w:val="16"/>
              </w:rPr>
            </w:pPr>
            <w:r w:rsidRPr="000F5A98">
              <w:rPr>
                <w:sz w:val="16"/>
                <w:szCs w:val="16"/>
              </w:rPr>
              <w:t>2023</w:t>
            </w:r>
          </w:p>
        </w:tc>
        <w:tc>
          <w:tcPr>
            <w:tcW w:w="3414" w:type="dxa"/>
          </w:tcPr>
          <w:p w14:paraId="0953399D" w14:textId="179D2AF3" w:rsidR="00F07FB8" w:rsidRDefault="00F07FB8" w:rsidP="00694AD9">
            <w:pPr>
              <w:jc w:val="center"/>
            </w:pPr>
          </w:p>
        </w:tc>
      </w:tr>
      <w:tr w:rsidR="00F07FB8" w14:paraId="3BC1E847" w14:textId="58D5F761" w:rsidTr="00052819">
        <w:trPr>
          <w:trHeight w:val="1355"/>
        </w:trPr>
        <w:tc>
          <w:tcPr>
            <w:tcW w:w="1762" w:type="dxa"/>
            <w:vMerge/>
          </w:tcPr>
          <w:p w14:paraId="79C6F62C" w14:textId="77777777" w:rsidR="00F07FB8" w:rsidRDefault="00F07FB8" w:rsidP="00694AD9">
            <w:pPr>
              <w:jc w:val="center"/>
            </w:pPr>
          </w:p>
        </w:tc>
        <w:tc>
          <w:tcPr>
            <w:tcW w:w="1810" w:type="dxa"/>
            <w:vMerge/>
          </w:tcPr>
          <w:p w14:paraId="60DEFFDA" w14:textId="77777777" w:rsidR="00F07FB8" w:rsidRDefault="00F07FB8" w:rsidP="00694AD9">
            <w:pPr>
              <w:jc w:val="center"/>
            </w:pPr>
          </w:p>
        </w:tc>
        <w:tc>
          <w:tcPr>
            <w:tcW w:w="1823" w:type="dxa"/>
            <w:vMerge/>
          </w:tcPr>
          <w:p w14:paraId="58ED1682" w14:textId="4D275A7B" w:rsidR="00F07FB8" w:rsidRDefault="00F07FB8" w:rsidP="00694AD9">
            <w:pPr>
              <w:jc w:val="center"/>
            </w:pPr>
          </w:p>
        </w:tc>
        <w:tc>
          <w:tcPr>
            <w:tcW w:w="270" w:type="dxa"/>
            <w:vMerge w:val="restart"/>
          </w:tcPr>
          <w:p w14:paraId="1A85637A" w14:textId="6FD6D02C" w:rsidR="00F07FB8" w:rsidRPr="000F5A98" w:rsidRDefault="00F07FB8" w:rsidP="00694AD9">
            <w:pPr>
              <w:jc w:val="center"/>
              <w:rPr>
                <w:sz w:val="20"/>
                <w:szCs w:val="20"/>
              </w:rPr>
            </w:pPr>
            <w:r w:rsidRPr="000F5A98">
              <w:rPr>
                <w:sz w:val="20"/>
                <w:szCs w:val="20"/>
              </w:rPr>
              <w:t>2024</w:t>
            </w:r>
          </w:p>
        </w:tc>
        <w:tc>
          <w:tcPr>
            <w:tcW w:w="4297" w:type="dxa"/>
          </w:tcPr>
          <w:p w14:paraId="0A460887" w14:textId="220D3046" w:rsidR="00F07FB8" w:rsidRDefault="00F07FB8" w:rsidP="00694AD9">
            <w:pPr>
              <w:jc w:val="center"/>
            </w:pPr>
            <w:r w:rsidRPr="00F07FB8">
              <w:t>Breakthrough Technology Innovation Research Group (Vrije Universiteit Amsterdam) Netherlands Master Student Researcher November 2023 – January 2024</w:t>
            </w:r>
          </w:p>
        </w:tc>
        <w:tc>
          <w:tcPr>
            <w:tcW w:w="568" w:type="dxa"/>
            <w:vMerge w:val="restart"/>
          </w:tcPr>
          <w:p w14:paraId="7045F3B6" w14:textId="128B80B8" w:rsidR="00F07FB8" w:rsidRPr="000F5A98" w:rsidRDefault="00F07FB8" w:rsidP="00694AD9">
            <w:pPr>
              <w:jc w:val="center"/>
              <w:rPr>
                <w:sz w:val="16"/>
                <w:szCs w:val="16"/>
              </w:rPr>
            </w:pPr>
            <w:r w:rsidRPr="000F5A98">
              <w:rPr>
                <w:sz w:val="16"/>
                <w:szCs w:val="16"/>
              </w:rPr>
              <w:t>2024</w:t>
            </w:r>
          </w:p>
        </w:tc>
        <w:tc>
          <w:tcPr>
            <w:tcW w:w="3414" w:type="dxa"/>
            <w:vMerge w:val="restart"/>
          </w:tcPr>
          <w:p w14:paraId="238018AF" w14:textId="30A2CAAC" w:rsidR="00F07FB8" w:rsidRDefault="00F07FB8" w:rsidP="00694AD9">
            <w:pPr>
              <w:jc w:val="center"/>
            </w:pPr>
          </w:p>
        </w:tc>
      </w:tr>
      <w:tr w:rsidR="00F07FB8" w14:paraId="776079CB" w14:textId="77777777" w:rsidTr="00052819">
        <w:trPr>
          <w:trHeight w:val="1355"/>
        </w:trPr>
        <w:tc>
          <w:tcPr>
            <w:tcW w:w="1762" w:type="dxa"/>
            <w:vMerge/>
          </w:tcPr>
          <w:p w14:paraId="5CDFED26" w14:textId="77777777" w:rsidR="00F07FB8" w:rsidRDefault="00F07FB8" w:rsidP="00694AD9">
            <w:pPr>
              <w:jc w:val="center"/>
            </w:pPr>
          </w:p>
        </w:tc>
        <w:tc>
          <w:tcPr>
            <w:tcW w:w="1810" w:type="dxa"/>
            <w:vMerge/>
          </w:tcPr>
          <w:p w14:paraId="1599AB2A" w14:textId="77777777" w:rsidR="00F07FB8" w:rsidRDefault="00F07FB8" w:rsidP="00694AD9">
            <w:pPr>
              <w:jc w:val="center"/>
            </w:pPr>
          </w:p>
        </w:tc>
        <w:tc>
          <w:tcPr>
            <w:tcW w:w="1823" w:type="dxa"/>
            <w:vMerge/>
          </w:tcPr>
          <w:p w14:paraId="4348345D" w14:textId="77777777" w:rsidR="00F07FB8" w:rsidRDefault="00F07FB8" w:rsidP="00694AD9">
            <w:pPr>
              <w:jc w:val="center"/>
            </w:pPr>
          </w:p>
        </w:tc>
        <w:tc>
          <w:tcPr>
            <w:tcW w:w="270" w:type="dxa"/>
            <w:vMerge/>
          </w:tcPr>
          <w:p w14:paraId="440D9FEA" w14:textId="77777777" w:rsidR="00F07FB8" w:rsidRPr="000F5A98" w:rsidRDefault="00F07FB8" w:rsidP="00694A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97" w:type="dxa"/>
          </w:tcPr>
          <w:p w14:paraId="59BC9C76" w14:textId="0D353974" w:rsidR="00F07FB8" w:rsidRDefault="00F07FB8" w:rsidP="00694AD9">
            <w:pPr>
              <w:jc w:val="center"/>
            </w:pPr>
            <w:r w:rsidRPr="00F07FB8">
              <w:t xml:space="preserve">LUT University (Lappeenranta-Lahti University of Technology) Lappeenranta, Finland University Research </w:t>
            </w:r>
            <w:proofErr w:type="spellStart"/>
            <w:r w:rsidRPr="00F07FB8">
              <w:t>Asistant</w:t>
            </w:r>
            <w:proofErr w:type="spellEnd"/>
            <w:r w:rsidRPr="00F07FB8">
              <w:t xml:space="preserve"> June 2023 – August 2023</w:t>
            </w:r>
          </w:p>
        </w:tc>
        <w:tc>
          <w:tcPr>
            <w:tcW w:w="568" w:type="dxa"/>
            <w:vMerge/>
          </w:tcPr>
          <w:p w14:paraId="33CB4D82" w14:textId="77777777" w:rsidR="00F07FB8" w:rsidRPr="000F5A98" w:rsidRDefault="00F07FB8" w:rsidP="00694AD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14" w:type="dxa"/>
            <w:vMerge/>
          </w:tcPr>
          <w:p w14:paraId="19694A9F" w14:textId="77777777" w:rsidR="00F07FB8" w:rsidRDefault="00F07FB8" w:rsidP="00694AD9">
            <w:pPr>
              <w:jc w:val="center"/>
            </w:pPr>
          </w:p>
        </w:tc>
      </w:tr>
    </w:tbl>
    <w:p w14:paraId="3000BFA1" w14:textId="77777777" w:rsidR="00042515" w:rsidRPr="00042515" w:rsidRDefault="00042515" w:rsidP="00042515"/>
    <w:sectPr w:rsidR="00042515" w:rsidRPr="00042515" w:rsidSect="005C7B17">
      <w:pgSz w:w="16838" w:h="23811" w:code="8"/>
      <w:pgMar w:top="86" w:right="1440" w:bottom="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15"/>
    <w:rsid w:val="00042515"/>
    <w:rsid w:val="00052819"/>
    <w:rsid w:val="000F5A98"/>
    <w:rsid w:val="00250F75"/>
    <w:rsid w:val="002D461A"/>
    <w:rsid w:val="00483CD0"/>
    <w:rsid w:val="005C7B17"/>
    <w:rsid w:val="00607C1C"/>
    <w:rsid w:val="00694AD9"/>
    <w:rsid w:val="00921B26"/>
    <w:rsid w:val="00996E73"/>
    <w:rsid w:val="00AA45EF"/>
    <w:rsid w:val="00F0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D77D"/>
  <w15:chartTrackingRefBased/>
  <w15:docId w15:val="{34FE7462-2EDB-45A9-9B30-CC9A3291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2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Aprilia</dc:creator>
  <cp:keywords/>
  <dc:description/>
  <cp:lastModifiedBy>Cindy Aprilia</cp:lastModifiedBy>
  <cp:revision>11</cp:revision>
  <dcterms:created xsi:type="dcterms:W3CDTF">2024-12-16T15:09:00Z</dcterms:created>
  <dcterms:modified xsi:type="dcterms:W3CDTF">2024-12-16T15:53:00Z</dcterms:modified>
</cp:coreProperties>
</file>