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lsx" ContentType="application/vnd.openxmlformats-officedocument.spreadsheetml.sheet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style1.xml" ContentType="application/vnd.ms-office.chartstyle+xml"/>
  <Override PartName="/word/charts/colors1.xml" ContentType="application/vnd.ms-office.chartcolorstyle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67B32835" w14:textId="77777777" w:rsidR="009E5835" w:rsidRDefault="009E5835" w:rsidP="009E5835">
      <w:pPr>
        <w:pStyle w:val="Otsikko"/>
      </w:pPr>
      <w:r>
        <w:t xml:space="preserve">A </w:t>
      </w:r>
      <w:proofErr w:type="spellStart"/>
      <w:r>
        <w:t>Simple</w:t>
      </w:r>
      <w:proofErr w:type="spellEnd"/>
      <w:r>
        <w:t xml:space="preserve"> </w:t>
      </w:r>
      <w:proofErr w:type="spellStart"/>
      <w:r>
        <w:t>office</w:t>
      </w:r>
      <w:proofErr w:type="spellEnd"/>
      <w:r>
        <w:t xml:space="preserve"> </w:t>
      </w:r>
      <w:proofErr w:type="spellStart"/>
      <w:r>
        <w:t>docum</w:t>
      </w:r>
      <w:bookmarkStart w:id="0" w:name="_GoBack"/>
      <w:bookmarkEnd w:id="0"/>
      <w:r>
        <w:t>ent</w:t>
      </w:r>
      <w:proofErr w:type="spellEnd"/>
    </w:p>
    <w:p w14:paraId="5F1A5ACF" w14:textId="77777777" w:rsidR="009E5835" w:rsidRDefault="009E5835" w:rsidP="009E5835"/>
    <w:p w14:paraId="111AA413" w14:textId="77777777" w:rsidR="009E5835" w:rsidRDefault="009E5835" w:rsidP="009E5835"/>
    <w:p w14:paraId="46151D75" w14:textId="77777777" w:rsidR="009E5835" w:rsidRDefault="009E5835" w:rsidP="009E5835"/>
    <w:p w14:paraId="3317DFF4" w14:textId="77777777" w:rsidR="009E5835" w:rsidRDefault="009E5835" w:rsidP="009E5835">
      <w:proofErr w:type="spellStart"/>
      <w:r>
        <w:t>Ut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suscipit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, at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justo</w:t>
      </w:r>
      <w:proofErr w:type="spellEnd"/>
      <w:r>
        <w:t xml:space="preserve">. </w:t>
      </w:r>
      <w:proofErr w:type="spellStart"/>
      <w:r>
        <w:t>Integer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metus</w:t>
      </w:r>
      <w:proofErr w:type="spellEnd"/>
      <w:r>
        <w:t xml:space="preserve">, </w:t>
      </w:r>
      <w:proofErr w:type="spellStart"/>
      <w:r>
        <w:t>condimentum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mi </w:t>
      </w:r>
      <w:proofErr w:type="spellStart"/>
      <w:r>
        <w:t>blandit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. </w:t>
      </w:r>
      <w:proofErr w:type="spellStart"/>
      <w:r>
        <w:t>Aenean</w:t>
      </w:r>
      <w:proofErr w:type="spellEnd"/>
      <w:r>
        <w:t xml:space="preserve"> </w:t>
      </w:r>
      <w:proofErr w:type="spellStart"/>
      <w:r>
        <w:t>ullamcorper</w:t>
      </w:r>
      <w:proofErr w:type="spellEnd"/>
      <w:r>
        <w:t xml:space="preserve"> </w:t>
      </w:r>
      <w:proofErr w:type="spellStart"/>
      <w:r>
        <w:t>tincidunt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maximus</w:t>
      </w:r>
      <w:proofErr w:type="spellEnd"/>
      <w:r>
        <w:t xml:space="preserve">. </w:t>
      </w:r>
      <w:proofErr w:type="spellStart"/>
      <w:r>
        <w:t>Sed</w:t>
      </w:r>
      <w:proofErr w:type="spellEnd"/>
      <w:r>
        <w:t xml:space="preserve"> at </w:t>
      </w:r>
      <w:proofErr w:type="spellStart"/>
      <w:r>
        <w:t>odio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mauris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placerat</w:t>
      </w:r>
      <w:proofErr w:type="spellEnd"/>
      <w:r>
        <w:t xml:space="preserve">. </w:t>
      </w:r>
      <w:proofErr w:type="spellStart"/>
      <w:r>
        <w:t>Cras</w:t>
      </w:r>
      <w:proofErr w:type="spellEnd"/>
      <w:r>
        <w:t xml:space="preserve"> </w:t>
      </w:r>
      <w:proofErr w:type="spellStart"/>
      <w:r>
        <w:t>scelerisque</w:t>
      </w:r>
      <w:proofErr w:type="spellEnd"/>
      <w:r>
        <w:t xml:space="preserve">, </w:t>
      </w:r>
      <w:proofErr w:type="spellStart"/>
      <w:r>
        <w:t>nunc</w:t>
      </w:r>
      <w:proofErr w:type="spellEnd"/>
      <w:r>
        <w:t xml:space="preserve"> vitae </w:t>
      </w:r>
      <w:proofErr w:type="spellStart"/>
      <w:r>
        <w:t>porttitor</w:t>
      </w:r>
      <w:proofErr w:type="spellEnd"/>
      <w:r>
        <w:t xml:space="preserve"> </w:t>
      </w:r>
      <w:proofErr w:type="spellStart"/>
      <w:r>
        <w:t>auctor</w:t>
      </w:r>
      <w:proofErr w:type="spellEnd"/>
      <w:r>
        <w:t xml:space="preserve">, </w:t>
      </w:r>
      <w:proofErr w:type="spellStart"/>
      <w:r>
        <w:t>leo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pulvinar</w:t>
      </w:r>
      <w:proofErr w:type="spellEnd"/>
      <w:r>
        <w:t xml:space="preserve"> magna,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ante</w:t>
      </w:r>
      <w:proofErr w:type="spellEnd"/>
      <w:r>
        <w:t xml:space="preserve"> a </w:t>
      </w:r>
      <w:proofErr w:type="spellStart"/>
      <w:r>
        <w:t>eros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, in </w:t>
      </w:r>
      <w:proofErr w:type="spellStart"/>
      <w:r>
        <w:t>maximus</w:t>
      </w:r>
      <w:proofErr w:type="spellEnd"/>
      <w:r>
        <w:t xml:space="preserve"> magna </w:t>
      </w:r>
      <w:proofErr w:type="spellStart"/>
      <w:r>
        <w:t>ultricies</w:t>
      </w:r>
      <w:proofErr w:type="spellEnd"/>
      <w:r>
        <w:t xml:space="preserve"> at.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interdum</w:t>
      </w:r>
      <w:proofErr w:type="spellEnd"/>
      <w:r>
        <w:t xml:space="preserve"> </w:t>
      </w:r>
      <w:proofErr w:type="spellStart"/>
      <w:r>
        <w:t>ante</w:t>
      </w:r>
      <w:proofErr w:type="spellEnd"/>
      <w:r>
        <w:t xml:space="preserve"> at </w:t>
      </w:r>
      <w:proofErr w:type="spellStart"/>
      <w:r>
        <w:t>arcu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dictum</w:t>
      </w:r>
      <w:proofErr w:type="spellEnd"/>
      <w:r>
        <w:t xml:space="preserve">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molestie</w:t>
      </w:r>
      <w:proofErr w:type="spellEnd"/>
      <w:r>
        <w:t xml:space="preserve"> </w:t>
      </w:r>
      <w:proofErr w:type="spellStart"/>
      <w:r>
        <w:t>sapien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, </w:t>
      </w:r>
      <w:proofErr w:type="spellStart"/>
      <w:r>
        <w:t>quis</w:t>
      </w:r>
      <w:proofErr w:type="spellEnd"/>
      <w:r>
        <w:t xml:space="preserve"> </w:t>
      </w:r>
      <w:proofErr w:type="spellStart"/>
      <w:r>
        <w:t>lacinia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vulputate</w:t>
      </w:r>
      <w:proofErr w:type="spellEnd"/>
      <w:r>
        <w:t xml:space="preserve">. </w:t>
      </w:r>
    </w:p>
    <w:p w14:paraId="35F7744D" w14:textId="77777777" w:rsidR="009E5835" w:rsidRDefault="009E5835" w:rsidP="009E5835">
      <w:proofErr w:type="spellStart"/>
      <w:r>
        <w:t>Integer</w:t>
      </w:r>
      <w:proofErr w:type="spellEnd"/>
      <w:r>
        <w:t xml:space="preserve"> </w:t>
      </w:r>
      <w:proofErr w:type="spellStart"/>
      <w:r>
        <w:t>mollis</w:t>
      </w:r>
      <w:proofErr w:type="spellEnd"/>
      <w:r>
        <w:t xml:space="preserve"> tellus </w:t>
      </w:r>
      <w:proofErr w:type="spellStart"/>
      <w:r>
        <w:t>odio</w:t>
      </w:r>
      <w:proofErr w:type="spellEnd"/>
      <w:r>
        <w:t xml:space="preserve">, in </w:t>
      </w:r>
      <w:proofErr w:type="spellStart"/>
      <w:r>
        <w:t>venenatis</w:t>
      </w:r>
      <w:proofErr w:type="spellEnd"/>
      <w:r>
        <w:t xml:space="preserve"> </w:t>
      </w:r>
      <w:proofErr w:type="spellStart"/>
      <w:r>
        <w:t>ipsum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 in. </w:t>
      </w:r>
      <w:proofErr w:type="spellStart"/>
      <w:r>
        <w:t>Maecenas</w:t>
      </w:r>
      <w:proofErr w:type="spellEnd"/>
      <w:r>
        <w:t xml:space="preserve"> </w:t>
      </w:r>
      <w:proofErr w:type="spellStart"/>
      <w:r>
        <w:t>pharetra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in </w:t>
      </w:r>
      <w:proofErr w:type="spellStart"/>
      <w:r>
        <w:t>neque</w:t>
      </w:r>
      <w:proofErr w:type="spellEnd"/>
      <w:r>
        <w:t xml:space="preserve"> </w:t>
      </w:r>
      <w:proofErr w:type="spellStart"/>
      <w:r>
        <w:t>sollicitudin</w:t>
      </w:r>
      <w:proofErr w:type="spellEnd"/>
      <w:r>
        <w:t xml:space="preserve"> </w:t>
      </w:r>
      <w:proofErr w:type="spellStart"/>
      <w:r>
        <w:t>varius</w:t>
      </w:r>
      <w:proofErr w:type="spellEnd"/>
      <w:r>
        <w:t xml:space="preserve">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consequat</w:t>
      </w:r>
      <w:proofErr w:type="spellEnd"/>
      <w:r>
        <w:t xml:space="preserve"> </w:t>
      </w:r>
      <w:proofErr w:type="spellStart"/>
      <w:r>
        <w:t>ante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massa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. </w:t>
      </w:r>
      <w:proofErr w:type="spellStart"/>
      <w:r>
        <w:t>Phasellus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velit</w:t>
      </w:r>
      <w:proofErr w:type="spellEnd"/>
      <w:r>
        <w:t xml:space="preserve"> </w:t>
      </w:r>
      <w:proofErr w:type="spellStart"/>
      <w:r>
        <w:t>sit</w:t>
      </w:r>
      <w:proofErr w:type="spellEnd"/>
      <w:r>
        <w:t xml:space="preserve"> </w:t>
      </w:r>
      <w:proofErr w:type="spellStart"/>
      <w:r>
        <w:t>amet</w:t>
      </w:r>
      <w:proofErr w:type="spellEnd"/>
      <w:r>
        <w:t xml:space="preserve"> </w:t>
      </w:r>
      <w:proofErr w:type="spellStart"/>
      <w:r>
        <w:t>nibh</w:t>
      </w:r>
      <w:proofErr w:type="spellEnd"/>
      <w:r>
        <w:t xml:space="preserve"> </w:t>
      </w:r>
      <w:proofErr w:type="spellStart"/>
      <w:r>
        <w:t>ultricies</w:t>
      </w:r>
      <w:proofErr w:type="spellEnd"/>
      <w:r>
        <w:t xml:space="preserve">, id tempus magna </w:t>
      </w:r>
      <w:proofErr w:type="spellStart"/>
      <w:r>
        <w:t>venenatis</w:t>
      </w:r>
      <w:proofErr w:type="spellEnd"/>
      <w:r>
        <w:t xml:space="preserve">. In </w:t>
      </w:r>
      <w:proofErr w:type="spellStart"/>
      <w:r>
        <w:t>semper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odio</w:t>
      </w:r>
      <w:proofErr w:type="spellEnd"/>
      <w:r>
        <w:t xml:space="preserve">,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sagittis</w:t>
      </w:r>
      <w:proofErr w:type="spellEnd"/>
      <w:r>
        <w:t xml:space="preserve"> </w:t>
      </w:r>
      <w:proofErr w:type="spellStart"/>
      <w:r>
        <w:t>lectus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 et. </w:t>
      </w:r>
      <w:proofErr w:type="spellStart"/>
      <w:r>
        <w:t>Aliquam</w:t>
      </w:r>
      <w:proofErr w:type="spellEnd"/>
      <w:r>
        <w:t xml:space="preserve"> </w:t>
      </w:r>
      <w:proofErr w:type="spellStart"/>
      <w:r>
        <w:t>rutrum</w:t>
      </w:r>
      <w:proofErr w:type="spellEnd"/>
      <w:r>
        <w:t xml:space="preserve"> </w:t>
      </w:r>
      <w:proofErr w:type="spellStart"/>
      <w:r>
        <w:t>dolor</w:t>
      </w:r>
      <w:proofErr w:type="spellEnd"/>
      <w:r>
        <w:t xml:space="preserve"> </w:t>
      </w:r>
      <w:proofErr w:type="spellStart"/>
      <w:r>
        <w:t>nec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</w:t>
      </w:r>
      <w:proofErr w:type="spellStart"/>
      <w:r>
        <w:t>dapibus</w:t>
      </w:r>
      <w:proofErr w:type="spellEnd"/>
      <w:r>
        <w:t xml:space="preserve"> </w:t>
      </w:r>
      <w:proofErr w:type="spellStart"/>
      <w:r>
        <w:t>ornare</w:t>
      </w:r>
      <w:proofErr w:type="spellEnd"/>
      <w:r>
        <w:t xml:space="preserve">. </w:t>
      </w:r>
      <w:proofErr w:type="spellStart"/>
      <w:r>
        <w:t>Proin</w:t>
      </w:r>
      <w:proofErr w:type="spellEnd"/>
      <w:r>
        <w:t xml:space="preserve"> </w:t>
      </w:r>
      <w:proofErr w:type="spellStart"/>
      <w:r>
        <w:t>eget</w:t>
      </w:r>
      <w:proofErr w:type="spellEnd"/>
      <w:r>
        <w:t xml:space="preserve"> </w:t>
      </w:r>
      <w:proofErr w:type="spellStart"/>
      <w:r>
        <w:t>lorem</w:t>
      </w:r>
      <w:proofErr w:type="spellEnd"/>
      <w:r>
        <w:t xml:space="preserve"> mi. </w:t>
      </w:r>
      <w:proofErr w:type="spellStart"/>
      <w:r>
        <w:t>Pellentesque</w:t>
      </w:r>
      <w:proofErr w:type="spellEnd"/>
      <w:r>
        <w:t xml:space="preserve"> </w:t>
      </w:r>
      <w:proofErr w:type="spellStart"/>
      <w:r>
        <w:t>habitant</w:t>
      </w:r>
      <w:proofErr w:type="spellEnd"/>
      <w:r>
        <w:t xml:space="preserve"> </w:t>
      </w:r>
      <w:proofErr w:type="spellStart"/>
      <w:r>
        <w:t>morbi</w:t>
      </w:r>
      <w:proofErr w:type="spellEnd"/>
      <w:r>
        <w:t xml:space="preserve"> </w:t>
      </w:r>
      <w:proofErr w:type="spellStart"/>
      <w:r>
        <w:t>tristique</w:t>
      </w:r>
      <w:proofErr w:type="spellEnd"/>
      <w:r>
        <w:t xml:space="preserve"> </w:t>
      </w:r>
      <w:proofErr w:type="spellStart"/>
      <w:r>
        <w:t>senectus</w:t>
      </w:r>
      <w:proofErr w:type="spellEnd"/>
      <w:r>
        <w:t xml:space="preserve"> et </w:t>
      </w:r>
      <w:proofErr w:type="spellStart"/>
      <w:r>
        <w:t>netus</w:t>
      </w:r>
      <w:proofErr w:type="spellEnd"/>
      <w:r>
        <w:t xml:space="preserve"> et </w:t>
      </w:r>
      <w:proofErr w:type="spellStart"/>
      <w:r>
        <w:t>malesuada</w:t>
      </w:r>
      <w:proofErr w:type="spellEnd"/>
      <w:r>
        <w:t xml:space="preserve"> </w:t>
      </w:r>
      <w:proofErr w:type="spellStart"/>
      <w:r>
        <w:t>fames</w:t>
      </w:r>
      <w:proofErr w:type="spellEnd"/>
      <w:r>
        <w:t xml:space="preserve"> </w:t>
      </w:r>
      <w:proofErr w:type="spellStart"/>
      <w:r>
        <w:t>ac</w:t>
      </w:r>
      <w:proofErr w:type="spellEnd"/>
      <w:r>
        <w:t xml:space="preserve"> </w:t>
      </w:r>
      <w:proofErr w:type="spellStart"/>
      <w:r>
        <w:t>turpis</w:t>
      </w:r>
      <w:proofErr w:type="spellEnd"/>
      <w:r>
        <w:t xml:space="preserve"> </w:t>
      </w:r>
      <w:proofErr w:type="spellStart"/>
      <w:r>
        <w:t>egestas</w:t>
      </w:r>
      <w:proofErr w:type="spellEnd"/>
      <w:r>
        <w:t xml:space="preserve">. </w:t>
      </w:r>
      <w:proofErr w:type="spellStart"/>
      <w:r>
        <w:t>Sed</w:t>
      </w:r>
      <w:proofErr w:type="spellEnd"/>
      <w:r>
        <w:t xml:space="preserve"> </w:t>
      </w:r>
      <w:proofErr w:type="spellStart"/>
      <w:r>
        <w:t>eleifend</w:t>
      </w:r>
      <w:proofErr w:type="spellEnd"/>
      <w:r>
        <w:t xml:space="preserve"> </w:t>
      </w:r>
      <w:proofErr w:type="spellStart"/>
      <w:r>
        <w:t>felis</w:t>
      </w:r>
      <w:proofErr w:type="spellEnd"/>
      <w:r>
        <w:t xml:space="preserve"> vitae </w:t>
      </w:r>
      <w:proofErr w:type="spellStart"/>
      <w:r>
        <w:t>orci</w:t>
      </w:r>
      <w:proofErr w:type="spellEnd"/>
      <w:r>
        <w:t xml:space="preserve"> </w:t>
      </w:r>
      <w:proofErr w:type="spellStart"/>
      <w:r>
        <w:t>tempor</w:t>
      </w:r>
      <w:proofErr w:type="spellEnd"/>
      <w:r>
        <w:t xml:space="preserve">, in </w:t>
      </w:r>
      <w:proofErr w:type="spellStart"/>
      <w:r>
        <w:t>mattis</w:t>
      </w:r>
      <w:proofErr w:type="spellEnd"/>
      <w:r>
        <w:t xml:space="preserve"> </w:t>
      </w:r>
      <w:proofErr w:type="spellStart"/>
      <w:r>
        <w:t>urna</w:t>
      </w:r>
      <w:proofErr w:type="spellEnd"/>
      <w:r>
        <w:t xml:space="preserve"> </w:t>
      </w:r>
      <w:proofErr w:type="spellStart"/>
      <w:r>
        <w:t>aliquam</w:t>
      </w:r>
      <w:proofErr w:type="spellEnd"/>
      <w:r>
        <w:t xml:space="preserve">. </w:t>
      </w:r>
      <w:proofErr w:type="spellStart"/>
      <w:r>
        <w:t>Vivamus</w:t>
      </w:r>
      <w:proofErr w:type="spellEnd"/>
      <w:r>
        <w:t xml:space="preserve"> </w:t>
      </w:r>
      <w:proofErr w:type="spellStart"/>
      <w:r>
        <w:t>lobortis</w:t>
      </w:r>
      <w:proofErr w:type="spellEnd"/>
      <w:r>
        <w:t xml:space="preserve"> </w:t>
      </w:r>
      <w:proofErr w:type="spellStart"/>
      <w:r>
        <w:t>gravida</w:t>
      </w:r>
      <w:proofErr w:type="spellEnd"/>
      <w:r>
        <w:t xml:space="preserve"> </w:t>
      </w:r>
      <w:proofErr w:type="spellStart"/>
      <w:r>
        <w:t>feugiat</w:t>
      </w:r>
      <w:proofErr w:type="spellEnd"/>
      <w:r>
        <w:t xml:space="preserve">. </w:t>
      </w:r>
    </w:p>
    <w:p w14:paraId="71356D96" w14:textId="77777777" w:rsidR="009E5835" w:rsidRDefault="009E5835" w:rsidP="009E5835"/>
    <w:p w14:paraId="29B9F580" w14:textId="77777777" w:rsidR="009E5835" w:rsidRDefault="009E5835" w:rsidP="009E5835"/>
    <w:p w14:paraId="5E0BF974" w14:textId="77777777" w:rsidR="009E5835" w:rsidRPr="009E5835" w:rsidRDefault="009E5835" w:rsidP="009E5835">
      <w:r>
        <w:rPr>
          <w:noProof/>
        </w:rPr>
        <w:drawing>
          <wp:inline distT="0" distB="0" distL="0" distR="0" wp14:anchorId="0C6DBBB3" wp14:editId="68C66C5C">
            <wp:extent cx="5486400" cy="3200400"/>
            <wp:effectExtent l="0" t="0" r="0" b="0"/>
            <wp:docPr id="1" name="Kaavio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sectPr w:rsidR="009E5835" w:rsidRPr="009E5835">
      <w:pgSz w:w="11906" w:h="16838"/>
      <w:pgMar w:top="1417" w:right="1134" w:bottom="1417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5835"/>
    <w:rsid w:val="002A720A"/>
    <w:rsid w:val="009E58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i-FI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A97F7C0"/>
  <w15:chartTrackingRefBased/>
  <w15:docId w15:val="{958E1978-1CDC-46FB-AB3D-A26C360819F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i-FI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7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  <w:lsdException w:name="Smart Link Error" w:semiHidden="1" w:unhideWhenUsed="1"/>
  </w:latentStyles>
  <w:style w:type="paragraph" w:default="1" w:styleId="Normaali">
    <w:name w:val="Normal"/>
    <w:qFormat/>
  </w:style>
  <w:style w:type="character" w:default="1" w:styleId="Kappaleenoletusfontti">
    <w:name w:val="Default Paragraph Font"/>
    <w:uiPriority w:val="1"/>
    <w:semiHidden/>
    <w:unhideWhenUsed/>
  </w:style>
  <w:style w:type="table" w:default="1" w:styleId="Normaalitaulukko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Eiluetteloa">
    <w:name w:val="No List"/>
    <w:uiPriority w:val="99"/>
    <w:semiHidden/>
    <w:unhideWhenUsed/>
  </w:style>
  <w:style w:type="paragraph" w:styleId="Otsikko">
    <w:name w:val="Title"/>
    <w:basedOn w:val="Normaali"/>
    <w:next w:val="Normaali"/>
    <w:link w:val="OtsikkoChar"/>
    <w:uiPriority w:val="10"/>
    <w:qFormat/>
    <w:rsid w:val="009E583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OtsikkoChar">
    <w:name w:val="Otsikko Char"/>
    <w:basedOn w:val="Kappaleenoletusfontti"/>
    <w:link w:val="Otsikko"/>
    <w:uiPriority w:val="10"/>
    <w:rsid w:val="009E583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NormaaliWWW">
    <w:name w:val="Normal (Web)"/>
    <w:basedOn w:val="Normaali"/>
    <w:uiPriority w:val="99"/>
    <w:semiHidden/>
    <w:unhideWhenUsed/>
    <w:rsid w:val="009E583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fi-FI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4099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10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3" Type="http://schemas.openxmlformats.org/officeDocument/2006/relationships/package" Target="../embeddings/Microsoft_Excel_Worksheet.xlsx"/><Relationship Id="rId2" Type="http://schemas.microsoft.com/office/2011/relationships/chartColorStyle" Target="colors1.xml"/><Relationship Id="rId1" Type="http://schemas.microsoft.com/office/2011/relationships/chartStyle" Target="style1.xm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fi-FI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tx>
        <c:rich>
          <a:bodyPr rot="0" spcFirstLastPara="1" vertOverflow="ellipsis" vert="horz" wrap="square" anchor="ctr" anchorCtr="1"/>
          <a:lstStyle/>
          <a:p>
            <a:pPr>
              <a:defRPr sz="1440" b="0" i="0" u="none" strike="noStrike" kern="1200" spc="0" baseline="0">
                <a:solidFill>
                  <a:schemeClr val="tx1">
                    <a:lumMod val="65000"/>
                    <a:lumOff val="35000"/>
                  </a:schemeClr>
                </a:solidFill>
                <a:latin typeface="+mn-lt"/>
                <a:ea typeface="+mn-ea"/>
                <a:cs typeface="+mn-cs"/>
              </a:defRPr>
            </a:pPr>
            <a:r>
              <a:rPr lang="en-US"/>
              <a:t>CinCan</a:t>
            </a:r>
          </a:p>
        </c:rich>
      </c:tx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1440" b="0" i="0" u="none" strike="noStrike" kern="1200" spc="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fi-FI"/>
        </a:p>
      </c:txPr>
    </c:title>
    <c:autoTitleDeleted val="0"/>
    <c:plotArea>
      <c:layout/>
      <c:ofPieChart>
        <c:ofPieType val="bar"/>
        <c:varyColors val="1"/>
        <c:ser>
          <c:idx val="0"/>
          <c:order val="0"/>
          <c:tx>
            <c:strRef>
              <c:f>Taul1!$B$1</c:f>
              <c:strCache>
                <c:ptCount val="1"/>
                <c:pt idx="0">
                  <c:v>Myynti</c:v>
                </c:pt>
              </c:strCache>
            </c:strRef>
          </c:tx>
          <c:dPt>
            <c:idx val="0"/>
            <c:bubble3D val="0"/>
            <c:spPr>
              <a:solidFill>
                <a:schemeClr val="accent1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1"/>
            <c:bubble3D val="0"/>
            <c:spPr>
              <a:solidFill>
                <a:schemeClr val="accent2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2"/>
            <c:bubble3D val="0"/>
            <c:spPr>
              <a:solidFill>
                <a:schemeClr val="accent3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3"/>
            <c:bubble3D val="0"/>
            <c:spPr>
              <a:solidFill>
                <a:schemeClr val="accent4"/>
              </a:solidFill>
              <a:ln w="19050">
                <a:solidFill>
                  <a:schemeClr val="lt1"/>
                </a:solidFill>
              </a:ln>
              <a:effectLst/>
            </c:spPr>
          </c:dPt>
          <c:dPt>
            <c:idx val="4"/>
            <c:bubble3D val="0"/>
            <c:spPr>
              <a:solidFill>
                <a:schemeClr val="accent5"/>
              </a:solidFill>
              <a:ln w="19050">
                <a:solidFill>
                  <a:schemeClr val="lt1"/>
                </a:solidFill>
              </a:ln>
              <a:effectLst/>
            </c:spPr>
          </c:dPt>
          <c:cat>
            <c:strRef>
              <c:f>Taul1!$A$2:$A$5</c:f>
              <c:strCache>
                <c:ptCount val="4"/>
                <c:pt idx="0">
                  <c:v>1. quarter</c:v>
                </c:pt>
                <c:pt idx="1">
                  <c:v>2. quarter</c:v>
                </c:pt>
                <c:pt idx="2">
                  <c:v>3. quarter</c:v>
                </c:pt>
                <c:pt idx="3">
                  <c:v>4. quarter</c:v>
                </c:pt>
              </c:strCache>
            </c:strRef>
          </c:cat>
          <c:val>
            <c:numRef>
              <c:f>Taul1!$B$2:$B$5</c:f>
              <c:numCache>
                <c:formatCode>General</c:formatCode>
                <c:ptCount val="4"/>
                <c:pt idx="0">
                  <c:v>8.1999999999999993</c:v>
                </c:pt>
                <c:pt idx="1">
                  <c:v>3.2</c:v>
                </c:pt>
                <c:pt idx="2">
                  <c:v>1.4</c:v>
                </c:pt>
                <c:pt idx="3">
                  <c:v>1.2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B94D-4F5D-808C-529FE6814F40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  <c:gapWidth val="100"/>
        <c:secondPieSize val="75"/>
        <c:serLines>
          <c:spPr>
            <a:ln w="9525" cap="flat" cmpd="sng" algn="ctr">
              <a:solidFill>
                <a:schemeClr val="tx1">
                  <a:lumMod val="35000"/>
                  <a:lumOff val="65000"/>
                </a:schemeClr>
              </a:solidFill>
              <a:round/>
            </a:ln>
            <a:effectLst/>
          </c:spPr>
        </c:serLines>
      </c:ofPieChart>
      <c:spPr>
        <a:noFill/>
        <a:ln>
          <a:noFill/>
        </a:ln>
        <a:effectLst/>
      </c:spPr>
    </c:plotArea>
    <c:legend>
      <c:legendPos val="b"/>
      <c:overlay val="0"/>
      <c:spPr>
        <a:noFill/>
        <a:ln>
          <a:noFill/>
        </a:ln>
        <a:effectLst/>
      </c:spPr>
      <c:txPr>
        <a:bodyPr rot="0" spcFirstLastPara="1" vertOverflow="ellipsis" vert="horz" wrap="square" anchor="ctr" anchorCtr="1"/>
        <a:lstStyle/>
        <a:p>
          <a:pPr>
            <a:defRPr sz="900" b="0" i="0" u="none" strike="noStrike" kern="1200" baseline="0">
              <a:solidFill>
                <a:schemeClr val="tx1">
                  <a:lumMod val="65000"/>
                  <a:lumOff val="35000"/>
                </a:schemeClr>
              </a:solidFill>
              <a:latin typeface="+mn-lt"/>
              <a:ea typeface="+mn-ea"/>
              <a:cs typeface="+mn-cs"/>
            </a:defRPr>
          </a:pPr>
          <a:endParaRPr lang="fi-FI"/>
        </a:p>
      </c:txPr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spPr>
    <a:solidFill>
      <a:schemeClr val="bg1"/>
    </a:solidFill>
    <a:ln w="9525" cap="flat" cmpd="sng" algn="ctr">
      <a:solidFill>
        <a:schemeClr val="tx1">
          <a:lumMod val="15000"/>
          <a:lumOff val="85000"/>
        </a:schemeClr>
      </a:solidFill>
      <a:round/>
    </a:ln>
    <a:effectLst/>
  </c:spPr>
  <c:txPr>
    <a:bodyPr/>
    <a:lstStyle/>
    <a:p>
      <a:pPr>
        <a:defRPr/>
      </a:pPr>
      <a:endParaRPr lang="fi-FI"/>
    </a:p>
  </c:txPr>
  <c:externalData r:id="rId3">
    <c:autoUpdate val="0"/>
  </c:externalData>
</c:chartSpace>
</file>

<file path=word/charts/colors1.xml><?xml version="1.0" encoding="utf-8"?>
<cs:colorStyle xmlns:cs="http://schemas.microsoft.com/office/drawing/2012/chartStyle" xmlns:a="http://schemas.openxmlformats.org/drawingml/2006/main" meth="cycle" id="10">
  <a:schemeClr val="accent1"/>
  <a:schemeClr val="accent2"/>
  <a:schemeClr val="accent3"/>
  <a:schemeClr val="accent4"/>
  <a:schemeClr val="accent5"/>
  <a:schemeClr val="accent6"/>
  <cs:variation/>
  <cs:variation>
    <a:lumMod val="60000"/>
  </cs:variation>
  <cs:variation>
    <a:lumMod val="80000"/>
    <a:lumOff val="20000"/>
  </cs:variation>
  <cs:variation>
    <a:lumMod val="80000"/>
  </cs:variation>
  <cs:variation>
    <a:lumMod val="60000"/>
    <a:lumOff val="40000"/>
  </cs:variation>
  <cs:variation>
    <a:lumMod val="50000"/>
  </cs:variation>
  <cs:variation>
    <a:lumMod val="70000"/>
    <a:lumOff val="30000"/>
  </cs:variation>
  <cs:variation>
    <a:lumMod val="70000"/>
  </cs:variation>
  <cs:variation>
    <a:lumMod val="50000"/>
    <a:lumOff val="50000"/>
  </cs:variation>
</cs:colorStyle>
</file>

<file path=word/charts/style1.xml><?xml version="1.0" encoding="utf-8"?>
<cs:chartStyle xmlns:cs="http://schemas.microsoft.com/office/drawing/2012/chartStyle" xmlns:a="http://schemas.openxmlformats.org/drawingml/2006/main" id="333">
  <cs:axisTitle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axisTitle>
  <cs:categoryAxis>
    <cs:lnRef idx="0"/>
    <cs:fillRef idx="0"/>
    <cs:effectRef idx="0"/>
    <cs:fontRef idx="minor">
      <a:schemeClr val="tx1">
        <a:lumMod val="65000"/>
        <a:lumOff val="35000"/>
      </a:schemeClr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ategoryAxis>
  <cs:chartArea mods="allowNoFillOverride allowNoLineOverride">
    <cs:lnRef idx="0"/>
    <cs:fillRef idx="0"/>
    <cs:effectRef idx="0"/>
    <cs:fontRef idx="minor">
      <a:schemeClr val="tx1"/>
    </cs:fontRef>
    <cs:spPr>
      <a:solidFill>
        <a:schemeClr val="bg1"/>
      </a:solidFill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chartArea>
  <cs:data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dataLabel>
  <cs:dataLabelCallout>
    <cs:lnRef idx="0"/>
    <cs:fillRef idx="0"/>
    <cs:effectRef idx="0"/>
    <cs:fontRef idx="minor">
      <a:schemeClr val="dk1">
        <a:lumMod val="65000"/>
        <a:lumOff val="35000"/>
      </a:schemeClr>
    </cs:fontRef>
    <cs:spPr>
      <a:solidFill>
        <a:schemeClr val="lt1"/>
      </a:solidFill>
      <a:ln>
        <a:solidFill>
          <a:schemeClr val="dk1">
            <a:lumMod val="50000"/>
            <a:lumOff val="50000"/>
          </a:schemeClr>
        </a:solidFill>
      </a:ln>
    </cs:spPr>
    <cs:defRPr sz="900" kern="1200"/>
    <cs:bodyPr rot="0" spcFirstLastPara="1" vertOverflow="clip" horzOverflow="clip" vert="horz" wrap="square" lIns="36576" tIns="18288" rIns="36576" bIns="18288" anchor="ctr" anchorCtr="1">
      <a:spAutoFit/>
    </cs:bodyPr>
  </cs:dataLabelCallout>
  <cs:dataPoint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>
  <cs:dataPoint3D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19050">
        <a:solidFill>
          <a:schemeClr val="lt1"/>
        </a:solidFill>
      </a:ln>
    </cs:spPr>
  </cs:dataPoint3D>
  <cs:dataPointLine>
    <cs:lnRef idx="0">
      <cs:styleClr val="auto"/>
    </cs:lnRef>
    <cs:fillRef idx="0"/>
    <cs:effectRef idx="0"/>
    <cs:fontRef idx="minor">
      <a:schemeClr val="tx1"/>
    </cs:fontRef>
    <cs:spPr>
      <a:ln w="28575" cap="rnd">
        <a:solidFill>
          <a:schemeClr val="phClr"/>
        </a:solidFill>
        <a:round/>
      </a:ln>
    </cs:spPr>
  </cs:dataPointLine>
  <cs:dataPointMarker>
    <cs:lnRef idx="0"/>
    <cs:fillRef idx="0">
      <cs:styleClr val="auto"/>
    </cs:fillRef>
    <cs:effectRef idx="0"/>
    <cs:fontRef idx="minor">
      <a:schemeClr val="tx1"/>
    </cs:fontRef>
    <cs:spPr>
      <a:solidFill>
        <a:schemeClr val="phClr"/>
      </a:solidFill>
      <a:ln w="9525">
        <a:solidFill>
          <a:schemeClr val="lt1"/>
        </a:solidFill>
      </a:ln>
    </cs:spPr>
  </cs:dataPointMarker>
  <cs:dataPointMarkerLayout symbol="circle" size="6"/>
  <cs:dataPointWireframe>
    <cs:lnRef idx="0">
      <cs:styleClr val="auto"/>
    </cs:lnRef>
    <cs:fillRef idx="0"/>
    <cs:effectRef idx="0"/>
    <cs:fontRef idx="minor">
      <a:schemeClr val="tx1"/>
    </cs:fontRef>
    <cs:spPr>
      <a:ln w="9525" cap="rnd">
        <a:solidFill>
          <a:schemeClr val="phClr"/>
        </a:solidFill>
        <a:round/>
      </a:ln>
    </cs:spPr>
  </cs:dataPointWireframe>
  <cs:dataTable>
    <cs:lnRef idx="0"/>
    <cs:fillRef idx="0"/>
    <cs:effectRef idx="0"/>
    <cs:fontRef idx="minor">
      <a:schemeClr val="tx1">
        <a:lumMod val="65000"/>
        <a:lumOff val="35000"/>
      </a:schemeClr>
    </cs:fontRef>
    <cs:spPr>
      <a:noFill/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  <cs:defRPr sz="900" kern="1200"/>
  </cs:dataTable>
  <cs:downBar>
    <cs:lnRef idx="0"/>
    <cs:fillRef idx="0"/>
    <cs:effectRef idx="0"/>
    <cs:fontRef idx="minor">
      <a:schemeClr val="tx1"/>
    </cs:fontRef>
    <cs:spPr>
      <a:solidFill>
        <a:schemeClr val="dk1">
          <a:lumMod val="75000"/>
          <a:lumOff val="25000"/>
        </a:schemeClr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downBar>
  <cs:drop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dropLine>
  <cs:errorBa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errorBar>
  <cs:floor>
    <cs:lnRef idx="0"/>
    <cs:fillRef idx="0"/>
    <cs:effectRef idx="0"/>
    <cs:fontRef idx="minor">
      <a:schemeClr val="tx1"/>
    </cs:fontRef>
    <cs:spPr>
      <a:noFill/>
      <a:ln>
        <a:noFill/>
      </a:ln>
    </cs:spPr>
  </cs:floor>
  <cs:gridlineMaj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15000"/>
            <a:lumOff val="85000"/>
          </a:schemeClr>
        </a:solidFill>
        <a:round/>
      </a:ln>
    </cs:spPr>
  </cs:gridlineMajor>
  <cs:gridlineMinor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"/>
            <a:lumOff val="95000"/>
          </a:schemeClr>
        </a:solidFill>
        <a:round/>
      </a:ln>
    </cs:spPr>
  </cs:gridlineMinor>
  <cs:hiLo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50000"/>
            <a:lumOff val="50000"/>
          </a:schemeClr>
        </a:solidFill>
        <a:round/>
      </a:ln>
    </cs:spPr>
  </cs:hiLoLine>
  <cs:leader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leaderLine>
  <cs:legend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legend>
  <cs:plotArea mods="allowNoFillOverride allowNoLineOverride">
    <cs:lnRef idx="0"/>
    <cs:fillRef idx="0"/>
    <cs:effectRef idx="0"/>
    <cs:fontRef idx="minor">
      <a:schemeClr val="tx1"/>
    </cs:fontRef>
  </cs:plotArea>
  <cs:plotArea3D mods="allowNoFillOverride allowNoLineOverride">
    <cs:lnRef idx="0"/>
    <cs:fillRef idx="0"/>
    <cs:effectRef idx="0"/>
    <cs:fontRef idx="minor">
      <a:schemeClr val="tx1"/>
    </cs:fontRef>
  </cs:plotArea3D>
  <cs:series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seriesAxis>
  <cs:seriesLine>
    <cs:lnRef idx="0"/>
    <cs:fillRef idx="0"/>
    <cs:effectRef idx="0"/>
    <cs:fontRef idx="minor">
      <a:schemeClr val="tx1"/>
    </cs:fontRef>
    <cs:spPr>
      <a:ln w="9525" cap="flat" cmpd="sng" algn="ctr">
        <a:solidFill>
          <a:schemeClr val="tx1">
            <a:lumMod val="35000"/>
            <a:lumOff val="65000"/>
          </a:schemeClr>
        </a:solidFill>
        <a:round/>
      </a:ln>
    </cs:spPr>
  </cs:seriesLine>
  <cs:title>
    <cs:lnRef idx="0"/>
    <cs:fillRef idx="0"/>
    <cs:effectRef idx="0"/>
    <cs:fontRef idx="minor">
      <a:schemeClr val="tx1">
        <a:lumMod val="65000"/>
        <a:lumOff val="35000"/>
      </a:schemeClr>
    </cs:fontRef>
    <cs:defRPr sz="1440" b="0" kern="1200" spc="0" baseline="0"/>
  </cs:title>
  <cs:trendline>
    <cs:lnRef idx="0">
      <cs:styleClr val="auto"/>
    </cs:lnRef>
    <cs:fillRef idx="0"/>
    <cs:effectRef idx="0"/>
    <cs:fontRef idx="minor">
      <a:schemeClr val="tx1"/>
    </cs:fontRef>
    <cs:spPr>
      <a:ln w="19050" cap="rnd">
        <a:solidFill>
          <a:schemeClr val="phClr"/>
        </a:solidFill>
        <a:prstDash val="sysDash"/>
      </a:ln>
    </cs:spPr>
  </cs:trendline>
  <cs:trendlineLabel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trendlineLabel>
  <cs:upBar>
    <cs:lnRef idx="0"/>
    <cs:fillRef idx="0"/>
    <cs:effectRef idx="0"/>
    <cs:fontRef idx="minor">
      <a:schemeClr val="tx1"/>
    </cs:fontRef>
    <cs:spPr>
      <a:solidFill>
        <a:schemeClr val="lt1"/>
      </a:solidFill>
      <a:ln w="9525" cap="flat" cmpd="sng" algn="ctr">
        <a:solidFill>
          <a:schemeClr val="tx1">
            <a:lumMod val="65000"/>
            <a:lumOff val="35000"/>
          </a:schemeClr>
        </a:solidFill>
        <a:round/>
      </a:ln>
    </cs:spPr>
  </cs:upBar>
  <cs:valueAxis>
    <cs:lnRef idx="0"/>
    <cs:fillRef idx="0"/>
    <cs:effectRef idx="0"/>
    <cs:fontRef idx="minor">
      <a:schemeClr val="tx1">
        <a:lumMod val="65000"/>
        <a:lumOff val="35000"/>
      </a:schemeClr>
    </cs:fontRef>
    <cs:defRPr sz="900" kern="1200"/>
  </cs:valueAxis>
  <cs:wall>
    <cs:lnRef idx="0"/>
    <cs:fillRef idx="0"/>
    <cs:effectRef idx="0"/>
    <cs:fontRef idx="minor">
      <a:schemeClr val="tx1"/>
    </cs:fontRef>
    <cs:spPr>
      <a:noFill/>
      <a:ln>
        <a:noFill/>
      </a:ln>
    </cs:spPr>
  </cs:wall>
</cs:chartStyle>
</file>

<file path=word/theme/theme1.xml><?xml version="1.0" encoding="utf-8"?>
<a:theme xmlns:a="http://schemas.openxmlformats.org/drawingml/2006/main" name="Office-teema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4A1B8D87FBBD54E97629B5065070A17" ma:contentTypeVersion="10" ma:contentTypeDescription="Create a new document." ma:contentTypeScope="" ma:versionID="dd956321fbe4ed14a5fc4abe2d003a1f">
  <xsd:schema xmlns:xsd="http://www.w3.org/2001/XMLSchema" xmlns:xs="http://www.w3.org/2001/XMLSchema" xmlns:p="http://schemas.microsoft.com/office/2006/metadata/properties" xmlns:ns3="4150c8e6-8d31-4583-ae56-f9bd481f72f0" xmlns:ns4="48b7c435-7f65-41ae-936f-0d8c51328b66" targetNamespace="http://schemas.microsoft.com/office/2006/metadata/properties" ma:root="true" ma:fieldsID="88309ef1aa3b6e1b9b6fdf8b226ec83d" ns3:_="" ns4:_="">
    <xsd:import namespace="4150c8e6-8d31-4583-ae56-f9bd481f72f0"/>
    <xsd:import namespace="48b7c435-7f65-41ae-936f-0d8c51328b66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OCR" minOccurs="0"/>
                <xsd:element ref="ns3:MediaServiceGenerationTime" minOccurs="0"/>
                <xsd:element ref="ns3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150c8e6-8d31-4583-ae56-f9bd481f72f0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Tags" ma:internalName="MediaServiceAutoTags" ma:readOnly="true">
      <xsd:simpleType>
        <xsd:restriction base="dms:Text"/>
      </xsd:simple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8b7c435-7f65-41ae-936f-0d8c51328b66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4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CEA29D84-9B33-4ACB-AAE1-EA4135EF233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4150c8e6-8d31-4583-ae56-f9bd481f72f0"/>
    <ds:schemaRef ds:uri="48b7c435-7f65-41ae-936f-0d8c51328b66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010951A5-7A65-4C47-AB51-D592D3C3442F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AAE090F-0FD8-4449-812D-AF83C0079FFC}">
  <ds:schemaRefs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purl.org/dc/terms/"/>
    <ds:schemaRef ds:uri="48b7c435-7f65-41ae-936f-0d8c51328b66"/>
    <ds:schemaRef ds:uri="http://schemas.openxmlformats.org/package/2006/metadata/core-properties"/>
    <ds:schemaRef ds:uri="4150c8e6-8d31-4583-ae56-f9bd481f72f0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120</Words>
  <Characters>980</Characters>
  <Application>Microsoft Office Word</Application>
  <DocSecurity>0</DocSecurity>
  <Lines>8</Lines>
  <Paragraphs>2</Paragraphs>
  <ScaleCrop>false</ScaleCrop>
  <HeadingPairs>
    <vt:vector size="2" baseType="variant">
      <vt:variant>
        <vt:lpstr>Otsikko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Vertainen Vesa</dc:creator>
  <cp:keywords/>
  <dc:description/>
  <cp:lastModifiedBy>Vertainen Vesa</cp:lastModifiedBy>
  <cp:revision>2</cp:revision>
  <dcterms:created xsi:type="dcterms:W3CDTF">2019-11-14T13:02:00Z</dcterms:created>
  <dcterms:modified xsi:type="dcterms:W3CDTF">2019-11-14T13:02:00Z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0x01010054A1B8D87FBBD54E97629B5065070A17</vt:lpwstr>
  </property>
</Properties>
</file>