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SignalFlowEEG</w:t>
      </w:r>
      <w:r>
        <w:t xml:space="preserve"> </w:t>
      </w:r>
      <w:r>
        <w:t xml:space="preserve">Book</w:t>
      </w:r>
    </w:p>
    <w:p>
      <w:pPr>
        <w:pStyle w:val="Author"/>
      </w:pPr>
      <w:r>
        <w:t xml:space="preserve">Ernie</w:t>
      </w:r>
      <w:r>
        <w:t xml:space="preserve"> </w:t>
      </w:r>
      <w:r>
        <w:t xml:space="preserve">Pedapati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2" w:name="overview"/>
    <w:p>
      <w:pPr>
        <w:pStyle w:val="Heading1"/>
      </w:pPr>
      <w:r>
        <w:t xml:space="preserve">Overview</w:t>
      </w:r>
    </w:p>
    <w:bookmarkStart w:id="20" w:name="overview-1"/>
    <w:p>
      <w:pPr>
        <w:pStyle w:val="Heading2"/>
      </w:pPr>
      <w:r>
        <w:t xml:space="preserve">Overview</w:t>
      </w:r>
    </w:p>
    <w:p>
      <w:pPr>
        <w:pStyle w:val="FirstParagraph"/>
      </w:pPr>
      <w:r>
        <w:t xml:space="preserve">This EEG signal analysis program is designed to provide a comprehensive and user-friendly solution for processing and analyzing EEG data in the context of clinical trials and studies. It leverages the power of open-source libraries, such as MNE, to offer a robust and flexible framework for clinical EEG analysis.</w:t>
      </w:r>
    </w:p>
    <w:bookmarkEnd w:id="20"/>
    <w:bookmarkStart w:id="21" w:name="features"/>
    <w:p>
      <w:pPr>
        <w:pStyle w:val="Heading2"/>
      </w:pPr>
      <w:r>
        <w:t xml:space="preserve">Features</w:t>
      </w:r>
    </w:p>
    <w:p>
      <w:pPr>
        <w:numPr>
          <w:ilvl w:val="0"/>
          <w:numId w:val="1001"/>
        </w:numPr>
        <w:pStyle w:val="Compact"/>
      </w:pPr>
      <w:r>
        <w:rPr>
          <w:bCs/>
          <w:b/>
        </w:rPr>
        <w:t xml:space="preserve">Data Preprocessing</w:t>
      </w:r>
      <w:r>
        <w:t xml:space="preserve">: Perform standard EEG preprocessing tasks, including filtering, artifact detection and removal, and channel selection.</w:t>
      </w:r>
    </w:p>
    <w:p>
      <w:pPr>
        <w:numPr>
          <w:ilvl w:val="0"/>
          <w:numId w:val="1001"/>
        </w:numPr>
        <w:pStyle w:val="Compact"/>
      </w:pPr>
      <w:r>
        <w:rPr>
          <w:bCs/>
          <w:b/>
        </w:rPr>
        <w:t xml:space="preserve">Event Detection and Segmentation</w:t>
      </w:r>
      <w:r>
        <w:t xml:space="preserve">: Accurately identify and segment EEG events of interest, such as evoked responses, oscillatory activity, and sleep stages.</w:t>
      </w:r>
    </w:p>
    <w:p>
      <w:pPr>
        <w:numPr>
          <w:ilvl w:val="0"/>
          <w:numId w:val="1001"/>
        </w:numPr>
        <w:pStyle w:val="Compact"/>
      </w:pPr>
      <w:r>
        <w:rPr>
          <w:bCs/>
          <w:b/>
        </w:rPr>
        <w:t xml:space="preserve">Signal Analysis</w:t>
      </w:r>
      <w:r>
        <w:t xml:space="preserve">: Apply a wide range of signal processing techniques, including time-domain analysis, frequency-domain analysis, and time-frequency analysis.</w:t>
      </w:r>
    </w:p>
    <w:p>
      <w:pPr>
        <w:numPr>
          <w:ilvl w:val="0"/>
          <w:numId w:val="1001"/>
        </w:numPr>
        <w:pStyle w:val="Compact"/>
      </w:pPr>
      <w:r>
        <w:rPr>
          <w:bCs/>
          <w:b/>
        </w:rPr>
        <w:t xml:space="preserve">Statistical Analysis</w:t>
      </w:r>
      <w:r>
        <w:t xml:space="preserve">: Conduct statistical tests to assess the significance of EEG findings, including group comparisons and correlations with clinical outcomes.</w:t>
      </w:r>
    </w:p>
    <w:p>
      <w:pPr>
        <w:numPr>
          <w:ilvl w:val="0"/>
          <w:numId w:val="1001"/>
        </w:numPr>
        <w:pStyle w:val="Compact"/>
      </w:pPr>
      <w:r>
        <w:rPr>
          <w:bCs/>
          <w:b/>
        </w:rPr>
        <w:t xml:space="preserve">Visualization</w:t>
      </w:r>
      <w:r>
        <w:t xml:space="preserve">: Generate informative visualizations, such as topographic maps, time-series plots, and spectrograms, to facilitate data exploration and presentation.</w:t>
      </w:r>
    </w:p>
    <w:p>
      <w:pPr>
        <w:numPr>
          <w:ilvl w:val="0"/>
          <w:numId w:val="1001"/>
        </w:numPr>
        <w:pStyle w:val="Compact"/>
      </w:pPr>
      <w:r>
        <w:rPr>
          <w:bCs/>
          <w:b/>
        </w:rPr>
        <w:t xml:space="preserve">Integration with Clinical Data</w:t>
      </w:r>
      <w:r>
        <w:t xml:space="preserve">: Seamlessly integrate EEG data with other clinical measures, such as cognitive assessments, behavioral observations, and medical records, to enable multimodal analysis.</w:t>
      </w:r>
    </w:p>
    <w:p>
      <w:pPr>
        <w:numPr>
          <w:ilvl w:val="0"/>
          <w:numId w:val="1001"/>
        </w:numPr>
        <w:pStyle w:val="Compact"/>
      </w:pPr>
      <w:r>
        <w:rPr>
          <w:bCs/>
          <w:b/>
        </w:rPr>
        <w:t xml:space="preserve">Scalable and Automated Workflows</w:t>
      </w:r>
      <w:r>
        <w:t xml:space="preserve">: Develop and deploy scalable and automated workflows to handle large-scale clinical datasets efficiently.</w:t>
      </w:r>
    </w:p>
    <w:p>
      <w:pPr>
        <w:numPr>
          <w:ilvl w:val="0"/>
          <w:numId w:val="1001"/>
        </w:numPr>
        <w:pStyle w:val="Compact"/>
      </w:pPr>
      <w:r>
        <w:rPr>
          <w:bCs/>
          <w:b/>
        </w:rPr>
        <w:t xml:space="preserve">Reproducibility and Collaboration</w:t>
      </w:r>
      <w:r>
        <w:t xml:space="preserve">: Ensure the reproducibility of analyses and enable collaborative work through the use of version control and documented workflows.</w:t>
      </w:r>
    </w:p>
    <w:p>
      <w:r>
        <w:br w:type="page"/>
      </w:r>
    </w:p>
    <w:bookmarkEnd w:id="21"/>
    <w:bookmarkEnd w:id="22"/>
    <w:bookmarkStart w:id="24"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3" w:name="github-set-up"/>
    <w:p>
      <w:pPr>
        <w:pStyle w:val="Heading2"/>
      </w:pPr>
      <w:r>
        <w:t xml:space="preserve">1.1 GitHub Set-up</w:t>
      </w:r>
    </w:p>
    <w:p>
      <w:pPr>
        <w:numPr>
          <w:ilvl w:val="0"/>
          <w:numId w:val="1002"/>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2"/>
        </w:numPr>
      </w:pPr>
      <w:r>
        <w:t xml:space="preserve">Turn on GitHub Pages under Settings &gt; Pages . You will set pages to be made from the gh-pages branch and root directory.</w:t>
      </w:r>
      <w:r>
        <w:t xml:space="preserve"> </w:t>
      </w:r>
    </w:p>
    <w:p>
      <w:pPr>
        <w:numPr>
          <w:ilvl w:val="0"/>
          <w:numId w:val="1002"/>
        </w:numPr>
      </w:pPr>
      <w:r>
        <w:t xml:space="preserve">Turn on GitHub Actions under Settings &gt; Actions &gt; General</w:t>
      </w:r>
      <w:r>
        <w:t xml:space="preserve"> </w:t>
      </w:r>
    </w:p>
    <w:p>
      <w:pPr>
        <w:numPr>
          <w:ilvl w:val="0"/>
          <w:numId w:val="1002"/>
        </w:numPr>
      </w:pPr>
      <w:r>
        <w:t xml:space="preserve">Edit the repo description and Readme to add a link to the webpage. When you edit the description, you will see the link url in the url box or you can click on the Actions tab or the Settings &gt; Pages page to find the url.</w:t>
      </w:r>
    </w:p>
    <w:bookmarkEnd w:id="23"/>
    <w:bookmarkEnd w:id="24"/>
    <w:bookmarkStart w:id="27" w:name="customize"/>
    <w:p>
      <w:pPr>
        <w:pStyle w:val="Heading1"/>
      </w:pPr>
      <w:r>
        <w:t xml:space="preserve">2. Customize</w:t>
      </w:r>
    </w:p>
    <w:bookmarkStart w:id="25"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5"/>
    <w:bookmarkStart w:id="26" w:name="add-your-pages-the-project"/>
    <w:p>
      <w:pPr>
        <w:pStyle w:val="Heading2"/>
      </w:pPr>
      <w:r>
        <w:t xml:space="preserve">2.2 Add your pages the project</w:t>
      </w:r>
    </w:p>
    <w:p>
      <w:pPr>
        <w:numPr>
          <w:ilvl w:val="0"/>
          <w:numId w:val="1003"/>
        </w:numPr>
        <w:pStyle w:val="Compact"/>
      </w:pPr>
      <w:r>
        <w:t xml:space="preserve">Add the files to</w:t>
      </w:r>
      <w:r>
        <w:t xml:space="preserve"> </w:t>
      </w:r>
      <w:r>
        <w:rPr>
          <w:rStyle w:val="VerbatimChar"/>
        </w:rPr>
        <w:t xml:space="preserve">_quarto.yml</w:t>
      </w:r>
    </w:p>
    <w:bookmarkEnd w:id="26"/>
    <w:bookmarkEnd w:id="27"/>
    <w:bookmarkStart w:id="35" w:name="customization"/>
    <w:p>
      <w:pPr>
        <w:pStyle w:val="Heading1"/>
      </w:pPr>
      <w:r>
        <w:t xml:space="preserve">3. Customization</w:t>
      </w:r>
    </w:p>
    <w:bookmarkStart w:id="29"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8">
        <w:r>
          <w:rPr>
            <w:rStyle w:val="Hyperlink"/>
          </w:rPr>
          <w:t xml:space="preserve">Quarto documentation</w:t>
        </w:r>
      </w:hyperlink>
      <w:r>
        <w:t xml:space="preserve">.</w:t>
      </w:r>
    </w:p>
    <w:bookmarkEnd w:id="29"/>
    <w:bookmarkStart w:id="34"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4"/>
        </w:numPr>
        <w:pStyle w:val="Compact"/>
      </w:pPr>
      <w:hyperlink r:id="rId30">
        <w:r>
          <w:rPr>
            <w:rStyle w:val="Hyperlink"/>
          </w:rPr>
          <w:t xml:space="preserve">Quarto gallery</w:t>
        </w:r>
      </w:hyperlink>
    </w:p>
    <w:p>
      <w:pPr>
        <w:numPr>
          <w:ilvl w:val="0"/>
          <w:numId w:val="1004"/>
        </w:numPr>
        <w:pStyle w:val="Compact"/>
      </w:pPr>
      <w:hyperlink r:id="rId31">
        <w:r>
          <w:rPr>
            <w:rStyle w:val="Hyperlink"/>
          </w:rPr>
          <w:t xml:space="preserve">nmfs-openscapes</w:t>
        </w:r>
      </w:hyperlink>
    </w:p>
    <w:p>
      <w:pPr>
        <w:numPr>
          <w:ilvl w:val="0"/>
          <w:numId w:val="1004"/>
        </w:numPr>
        <w:pStyle w:val="Compact"/>
      </w:pPr>
      <w:hyperlink r:id="rId32">
        <w:r>
          <w:rPr>
            <w:rStyle w:val="Hyperlink"/>
          </w:rPr>
          <w:t xml:space="preserve">Faye lab manual</w:t>
        </w:r>
      </w:hyperlink>
    </w:p>
    <w:p>
      <w:pPr>
        <w:numPr>
          <w:ilvl w:val="0"/>
          <w:numId w:val="1004"/>
        </w:numPr>
        <w:pStyle w:val="Compact"/>
      </w:pPr>
      <w:hyperlink r:id="rId33">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4"/>
    <w:bookmarkEnd w:id="35"/>
    <w:bookmarkStart w:id="41" w:name="customization-1"/>
    <w:p>
      <w:pPr>
        <w:pStyle w:val="Heading1"/>
      </w:pPr>
      <w:r>
        <w:t xml:space="preserve">4. Customization</w:t>
      </w:r>
    </w:p>
    <w:bookmarkStart w:id="40" w:name="Xa1fec161e141ab26a25614ff2dcd9c942245527"/>
    <w:p>
      <w:pPr>
        <w:pStyle w:val="Heading2"/>
      </w:pPr>
      <w:r>
        <w:t xml:space="preserve">4.1 Assessing Cortical Excitability Using Resting-State EEG</w:t>
      </w:r>
    </w:p>
    <w:bookmarkStart w:id="37" w:name="introduction"/>
    <w:p>
      <w:pPr>
        <w:pStyle w:val="Heading3"/>
      </w:pPr>
      <w:r>
        <w:t xml:space="preserve">4.1.1 Introduction</w:t>
      </w:r>
    </w:p>
    <w:p>
      <w:pPr>
        <w:pStyle w:val="FirstParagraph"/>
      </w:pPr>
      <w:r>
        <w:t xml:space="preserve">Resting state EEG analysis can provide valuable insights into cortical excitability, which is often altered in neurodevelopmental disorders like Fragile X Syndrome (FXS). One powerful tool for assessing cortical excitability is the</w:t>
      </w:r>
      <w:r>
        <w:t xml:space="preserve"> </w:t>
      </w:r>
      <w:hyperlink r:id="rId36">
        <w:r>
          <w:rPr>
            <w:rStyle w:val="Hyperlink"/>
          </w:rPr>
          <w:t xml:space="preserve">Fitting Oscillations &amp; One-Over F</w:t>
        </w:r>
      </w:hyperlink>
      <w:r>
        <w:t xml:space="preserve"> </w:t>
      </w:r>
      <w:r>
        <w:t xml:space="preserve">(FOOOF) algorithm, which can decompose the resting state EEG power spectrum into its underlying oscillatory and aperiodic components.</w:t>
      </w:r>
    </w:p>
    <w:p>
      <w:pPr>
        <w:pStyle w:val="BodyText"/>
      </w:pPr>
      <w:r>
        <w:t xml:space="preserve">In this analysis, we will use FOOOF to compare cortical excitability, as measured by the aperiodic component of the power spectrum, between a group of individuals with FXS and a matched control group. This will allow us to better understand the neurophysiological underpinnings of the altered sensory processing and hyperexcitability often observed in FXS.</w:t>
      </w:r>
    </w:p>
    <w:bookmarkEnd w:id="37"/>
    <w:bookmarkStart w:id="39" w:name="methods-overview"/>
    <w:p>
      <w:pPr>
        <w:pStyle w:val="Heading3"/>
      </w:pPr>
      <w:r>
        <w:t xml:space="preserve">4.1.2 Methods Overview</w:t>
      </w:r>
    </w:p>
    <w:p>
      <w:pPr>
        <w:numPr>
          <w:ilvl w:val="0"/>
          <w:numId w:val="1005"/>
        </w:numPr>
        <w:pStyle w:val="Compact"/>
      </w:pPr>
      <w:hyperlink r:id="rId38">
        <w:r>
          <w:rPr>
            <w:rStyle w:val="VerbatimChar"/>
          </w:rPr>
          <w:t xml:space="preserve">p050_setup_environment</w:t>
        </w:r>
      </w:hyperlink>
      <w:r>
        <w:t xml:space="preserve">: Set up the analysis environment</w:t>
      </w:r>
    </w:p>
    <w:p>
      <w:pPr>
        <w:numPr>
          <w:ilvl w:val="0"/>
          <w:numId w:val="1005"/>
        </w:numPr>
        <w:pStyle w:val="Compact"/>
      </w:pPr>
      <w:hyperlink r:id="rId38">
        <w:r>
          <w:rPr>
            <w:rStyle w:val="VerbatimChar"/>
          </w:rPr>
          <w:t xml:space="preserve">p100_load_data_catalog</w:t>
        </w:r>
      </w:hyperlink>
      <w:r>
        <w:t xml:space="preserve">: Retrieve file list and associated metadata</w:t>
      </w:r>
    </w:p>
    <w:p>
      <w:pPr>
        <w:numPr>
          <w:ilvl w:val="0"/>
          <w:numId w:val="1006"/>
        </w:numPr>
        <w:pStyle w:val="Compact"/>
      </w:pPr>
      <w:r>
        <w:t xml:space="preserve">Preprocess the resting state EEG data, including filtering, artifact rejection, and channel selection.</w:t>
      </w:r>
    </w:p>
    <w:p>
      <w:pPr>
        <w:numPr>
          <w:ilvl w:val="0"/>
          <w:numId w:val="1006"/>
        </w:numPr>
        <w:pStyle w:val="Compact"/>
      </w:pPr>
      <w:r>
        <w:t xml:space="preserve">Apply the FOOOF algorithm to the preprocessed, source localized data to extract the aperiodic and oscillatory components of the power spectrum for each participant.</w:t>
      </w:r>
    </w:p>
    <w:p>
      <w:pPr>
        <w:numPr>
          <w:ilvl w:val="0"/>
          <w:numId w:val="1006"/>
        </w:numPr>
        <w:pStyle w:val="Compact"/>
      </w:pPr>
      <w:r>
        <w:t xml:space="preserve">Compare the aperiodic component between the FXS and control groups using appropriate statistical tests, such as t-tests or non-parametric tests, depending on the distribution of the data.</w:t>
      </w:r>
    </w:p>
    <w:bookmarkEnd w:id="39"/>
    <w:bookmarkEnd w:id="40"/>
    <w:bookmarkEnd w:id="41"/>
    <w:bookmarkStart w:id="45" w:name="rendering"/>
    <w:p>
      <w:pPr>
        <w:pStyle w:val="Heading1"/>
      </w:pPr>
      <w:r>
        <w:t xml:space="preserve">5.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42" w:name="X17131cd5d27ceabf38a6ff11ba610d89760f521"/>
    <w:p>
      <w:pPr>
        <w:pStyle w:val="Heading2"/>
      </w:pPr>
      <w:r>
        <w:t xml:space="preserve">5.1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42"/>
    <w:bookmarkStart w:id="43" w:name="step-2.-clone-and-create-rstudio-project"/>
    <w:p>
      <w:pPr>
        <w:pStyle w:val="Heading2"/>
      </w:pPr>
      <w:r>
        <w:t xml:space="preserve">5.2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43"/>
    <w:bookmarkStart w:id="44" w:name="step-3.-render-within-rstudio"/>
    <w:p>
      <w:pPr>
        <w:pStyle w:val="Heading2"/>
      </w:pPr>
      <w:r>
        <w:t xml:space="preserve">5.3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44"/>
    <w:bookmarkEnd w:id="45"/>
    <w:bookmarkStart w:id="55" w:name="r-markdown"/>
    <w:p>
      <w:pPr>
        <w:pStyle w:val="Heading1"/>
      </w:pPr>
      <w:r>
        <w:t xml:space="preserve">6. R Markdown</w:t>
      </w:r>
    </w:p>
    <w:p>
      <w:pPr>
        <w:pStyle w:val="FirstParagraph"/>
      </w:pPr>
      <w:r>
        <w:t xml:space="preserve">You can include R Markdown files in your project.</w:t>
      </w:r>
    </w:p>
    <w:bookmarkStart w:id="47" w:name="r-markdown-1"/>
    <w:p>
      <w:pPr>
        <w:pStyle w:val="Heading2"/>
      </w:pPr>
      <w:r>
        <w:t xml:space="preserve">6.1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46">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47"/>
    <w:bookmarkStart w:id="52" w:name="including-plots"/>
    <w:p>
      <w:pPr>
        <w:pStyle w:val="Heading2"/>
      </w:pPr>
      <w:r>
        <w:t xml:space="preserve">6.2 Including Plots</w:t>
      </w:r>
    </w:p>
    <w:p>
      <w:pPr>
        <w:pStyle w:val="FirstParagraph"/>
      </w:pPr>
      <w:r>
        <w:t xml:space="preserve">You can also embed plots and reference them, like so</w:t>
      </w:r>
      <w:r>
        <w:t xml:space="preserve"> </w:t>
      </w:r>
      <w:hyperlink w:anchor="fig-pressure">
        <w:r>
          <w:rPr>
            <w:rStyle w:val="Hyperlink"/>
          </w:rPr>
          <w:t xml:space="preserve">Figure 6.1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1" w:name="fig-pressure"/>
          <w:p>
            <w:pPr>
              <w:pStyle w:val="Compact"/>
              <w:jc w:val="center"/>
            </w:pPr>
            <w:r>
              <w:drawing>
                <wp:inline>
                  <wp:extent cx="4620126" cy="3696101"/>
                  <wp:effectExtent b="0" l="0" r="0" t="0"/>
                  <wp:docPr descr="" title="" id="49" name="Picture"/>
                  <a:graphic>
                    <a:graphicData uri="http://schemas.openxmlformats.org/drawingml/2006/picture">
                      <pic:pic>
                        <pic:nvPicPr>
                          <pic:cNvPr descr="content/rmarkdown_files/figure-docx/fig-pressure-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Plot of pressure</w:t>
            </w:r>
          </w:p>
          <w:bookmarkEnd w:id="51"/>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52"/>
    <w:bookmarkStart w:id="54" w:name="including-tables"/>
    <w:p>
      <w:pPr>
        <w:pStyle w:val="Heading2"/>
      </w:pPr>
      <w:r>
        <w:t xml:space="preserve">6.3 Including Tables</w:t>
      </w:r>
    </w:p>
    <w:p>
      <w:pPr>
        <w:pStyle w:val="FirstParagraph"/>
      </w:pPr>
      <w:r>
        <w:t xml:space="preserve">You can also embed tables and reference them with</w:t>
      </w:r>
      <w:r>
        <w:t xml:space="preserve"> </w:t>
      </w:r>
      <w:hyperlink w:anchor="tbl-iris">
        <w:r>
          <w:rPr>
            <w:rStyle w:val="Hyperlink"/>
          </w:rPr>
          <w:t xml:space="preserve">Table 6.1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ook w:firstRow="0" w:lastRow="0" w:firstColumn="0" w:lastColumn="0" w:noHBand="0" w:noVBand="0" w:val="0000"/>
        <w:jc w:val="start"/>
        <w:tblLayout w:type="fixed"/>
      </w:tblPr>
      <w:tblGrid>
        <w:gridCol w:w="7920"/>
      </w:tblGrid>
      <w:tr>
        <w:tc>
          <w:tcPr/>
          <w:bookmarkStart w:id="53" w:name="tbl-iris"/>
          <w:p>
            <w:pPr>
              <w:jc w:val="center"/>
            </w:pPr>
            <w:pPr>
              <w:jc w:val="start"/>
              <w:spacing w:before="200"/>
              <w:pStyle w:val="ImageCaption"/>
            </w:pPr>
            <w:r>
              <w:t xml:space="preserve">Table 6.1: Iris Data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53"/>
          <w:p/>
        </w:tc>
      </w:tr>
    </w:tbl>
    <w:bookmarkEnd w:id="54"/>
    <w:bookmarkEnd w:id="55"/>
    <w:bookmarkStart w:id="58" w:name="rendering-with-code"/>
    <w:p>
      <w:pPr>
        <w:pStyle w:val="Heading1"/>
      </w:pPr>
      <w:r>
        <w:t xml:space="preserve">7.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56" w:name="modify-the-github-action"/>
    <w:p>
      <w:pPr>
        <w:pStyle w:val="Heading2"/>
      </w:pPr>
      <w:r>
        <w:t xml:space="preserve">7.1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56"/>
    <w:bookmarkStart w:id="57" w:name="Xdf814e872f4053be69b75e0c2edcd5f91cea468"/>
    <w:p>
      <w:pPr>
        <w:pStyle w:val="Heading2"/>
      </w:pPr>
      <w:r>
        <w:t xml:space="preserve">7.2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57"/>
    <w:bookmarkEnd w:id="58"/>
    <w:bookmarkStart w:id="60" w:name="references"/>
    <w:p>
      <w:pPr>
        <w:pStyle w:val="Heading1"/>
      </w:pPr>
      <w:r>
        <w:t xml:space="preserve">8.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9">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7"/>
        </w:numPr>
      </w:pPr>
      <w:r>
        <w:rPr>
          <w:rStyle w:val="VerbatimChar"/>
        </w:rPr>
        <w:t xml:space="preserve">@ansley1981</w:t>
      </w:r>
      <w:r>
        <w:t xml:space="preserve"> </w:t>
      </w:r>
      <w:r>
        <w:t xml:space="preserve">will produce</w:t>
      </w:r>
      <w:r>
        <w:t xml:space="preserve"> </w:t>
      </w:r>
      <w:r>
        <w:t xml:space="preserve">Ansley and Davis (1981)</w:t>
      </w:r>
    </w:p>
    <w:p>
      <w:pPr>
        <w:numPr>
          <w:ilvl w:val="0"/>
          <w:numId w:val="1007"/>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60"/>
    <w:bookmarkStart w:id="63" w:name="references-1"/>
    <w:p>
      <w:pPr>
        <w:pStyle w:val="Heading1"/>
      </w:pPr>
      <w:r>
        <w:t xml:space="preserve">References</w:t>
      </w:r>
    </w:p>
    <w:bookmarkStart w:id="62" w:name="refs"/>
    <w:bookmarkStart w:id="61"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61"/>
    <w:bookmarkEnd w:id="62"/>
    <w:bookmarkEnd w:id="63"/>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8" Target="media/rId48.png" /><Relationship Type="http://schemas.openxmlformats.org/officeDocument/2006/relationships/hyperlink" Id="rId38" Target="" TargetMode="External" /><Relationship Type="http://schemas.openxmlformats.org/officeDocument/2006/relationships/hyperlink" Id="rId46" Target="http://rmarkdown.rstudio.com" TargetMode="External" /><Relationship Type="http://schemas.openxmlformats.org/officeDocument/2006/relationships/hyperlink" Id="rId36" Target="https://fooof-tools.github.io/fooof/" TargetMode="External" /><Relationship Type="http://schemas.openxmlformats.org/officeDocument/2006/relationships/hyperlink" Id="rId31" Target="https://nmfs-openscapes.github.io/" TargetMode="External" /><Relationship Type="http://schemas.openxmlformats.org/officeDocument/2006/relationships/hyperlink" Id="rId33" Target="https://nmfs-opensci.github.io/quarto_titlepages/" TargetMode="External" /><Relationship Type="http://schemas.openxmlformats.org/officeDocument/2006/relationships/hyperlink" Id="rId30" Target="https://quarto.org/docs/gallery/" TargetMode="External" /><Relationship Type="http://schemas.openxmlformats.org/officeDocument/2006/relationships/hyperlink" Id="rId28" Target="https://quarto.org/docs/guide/" TargetMode="External" /><Relationship Type="http://schemas.openxmlformats.org/officeDocument/2006/relationships/hyperlink" Id="rId59" Target="https://quarto.org/docs/visual-editor/technical.html#citations" TargetMode="External" /><Relationship Type="http://schemas.openxmlformats.org/officeDocument/2006/relationships/hyperlink" Id="rId32"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46" Target="http://rmarkdown.rstudio.com" TargetMode="External" /><Relationship Type="http://schemas.openxmlformats.org/officeDocument/2006/relationships/hyperlink" Id="rId36" Target="https://fooof-tools.github.io/fooof/" TargetMode="External" /><Relationship Type="http://schemas.openxmlformats.org/officeDocument/2006/relationships/hyperlink" Id="rId31" Target="https://nmfs-openscapes.github.io/" TargetMode="External" /><Relationship Type="http://schemas.openxmlformats.org/officeDocument/2006/relationships/hyperlink" Id="rId33" Target="https://nmfs-opensci.github.io/quarto_titlepages/" TargetMode="External" /><Relationship Type="http://schemas.openxmlformats.org/officeDocument/2006/relationships/hyperlink" Id="rId30" Target="https://quarto.org/docs/gallery/" TargetMode="External" /><Relationship Type="http://schemas.openxmlformats.org/officeDocument/2006/relationships/hyperlink" Id="rId28" Target="https://quarto.org/docs/guide/" TargetMode="External" /><Relationship Type="http://schemas.openxmlformats.org/officeDocument/2006/relationships/hyperlink" Id="rId59" Target="https://quarto.org/docs/visual-editor/technical.html#citations" TargetMode="External" /><Relationship Type="http://schemas.openxmlformats.org/officeDocument/2006/relationships/hyperlink" Id="rId32"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SignalFlowEEG Book</dc:title>
  <dc:creator>Ernie Pedapati</dc:creator>
  <cp:keywords/>
  <dcterms:created xsi:type="dcterms:W3CDTF">2024-03-22T16:10:42Z</dcterms:created>
  <dcterms:modified xsi:type="dcterms:W3CDTF">2024-03-22T16:10:42Z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