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2EE" w:rsidRDefault="008612EE"/>
    <w:p w:rsidR="005D4076" w:rsidRDefault="005D4076"/>
    <w:p w:rsidR="004103AD" w:rsidRDefault="004103AD"/>
    <w:p w:rsidR="004103AD" w:rsidRDefault="004103AD"/>
    <w:p w:rsidR="00FD1ECF" w:rsidRDefault="00FD1ECF"/>
    <w:p w:rsidR="004103AD" w:rsidRDefault="004103AD"/>
    <w:p w:rsidR="004103AD" w:rsidRDefault="004103AD"/>
    <w:p w:rsidR="004103AD" w:rsidRDefault="004103AD"/>
    <w:p w:rsidR="005D4076" w:rsidRDefault="005D4076" w:rsidP="005D4076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生产建设项目水土保持设施</w:t>
      </w:r>
    </w:p>
    <w:p w:rsidR="008612EE" w:rsidRDefault="005D4076" w:rsidP="005D4076">
      <w:pPr>
        <w:jc w:val="center"/>
      </w:pPr>
      <w:r>
        <w:rPr>
          <w:rFonts w:ascii="楷体_GB2312" w:eastAsia="楷体_GB2312" w:hint="eastAsia"/>
          <w:sz w:val="84"/>
          <w:szCs w:val="84"/>
        </w:rPr>
        <w:t>验收鉴定书</w:t>
      </w:r>
    </w:p>
    <w:p w:rsidR="008612EE" w:rsidRDefault="008612EE"/>
    <w:p w:rsidR="00E377D6" w:rsidRDefault="00E377D6"/>
    <w:p w:rsidR="00E377D6" w:rsidRDefault="00E377D6"/>
    <w:p w:rsidR="00E377D6" w:rsidRDefault="00E377D6"/>
    <w:p w:rsidR="00E377D6" w:rsidRDefault="00E377D6"/>
    <w:p w:rsidR="00E377D6" w:rsidRDefault="00E377D6"/>
    <w:p w:rsidR="00E377D6" w:rsidRDefault="00E377D6"/>
    <w:p w:rsidR="00E377D6" w:rsidRDefault="00E377D6"/>
    <w:p w:rsidR="00E377D6" w:rsidRDefault="00E377D6"/>
    <w:p w:rsidR="00E377D6" w:rsidRDefault="00E377D6"/>
    <w:p w:rsidR="00E377D6" w:rsidRDefault="00E377D6"/>
    <w:p w:rsidR="008612EE" w:rsidRPr="00825D92" w:rsidRDefault="008612EE" w:rsidP="00825D92">
      <w:pPr>
        <w:ind w:firstLineChars="455" w:firstLine="1274"/>
        <w:rPr>
          <w:rFonts w:ascii="宋体" w:eastAsia="宋体" w:hAnsi="宋体" w:cs="Times New Roman"/>
          <w:b/>
          <w:color w:val="000000"/>
          <w:sz w:val="28"/>
          <w:szCs w:val="28"/>
          <w:u w:val="single"/>
        </w:rPr>
      </w:pPr>
      <w:r w:rsidRPr="005D4076">
        <w:rPr>
          <w:rFonts w:ascii="黑体" w:eastAsia="黑体" w:hAnsi="Times New Roman" w:cs="Times New Roman" w:hint="eastAsia"/>
          <w:sz w:val="28"/>
          <w:szCs w:val="28"/>
        </w:rPr>
        <w:t>项 目 名 称</w:t>
      </w:r>
      <w:r w:rsidR="005D4076">
        <w:rPr>
          <w:rFonts w:ascii="黑体" w:eastAsia="黑体" w:hAnsi="黑体" w:hint="eastAsia"/>
          <w:sz w:val="28"/>
        </w:rPr>
        <w:t xml:space="preserve"> </w:t>
      </w:r>
      <w:r w:rsidR="00FB7557">
        <w:rPr>
          <w:rFonts w:ascii="黑体" w:eastAsia="黑体" w:hAnsi="黑体" w:hint="eastAsia"/>
          <w:sz w:val="28"/>
        </w:rPr>
        <w:t xml:space="preserve"> </w:t>
      </w:r>
      <w:r w:rsidR="00825D92" w:rsidRPr="00825D92">
        <w:rPr>
          <w:rFonts w:ascii="黑体" w:eastAsia="黑体" w:hAnsi="黑体"/>
          <w:sz w:val="28"/>
          <w:u w:val="single"/>
        </w:rPr>
        <w:t xml:space="preserve"> </w:t>
      </w:r>
      <w:r w:rsidR="009D36AB">
        <w:rPr>
          <w:rFonts w:ascii="黑体" w:eastAsia="黑体" w:hAnsi="黑体"/>
          <w:sz w:val="28"/>
          <w:u w:val="single"/>
        </w:rPr>
        <w:t xml:space="preserve">      </w:t>
      </w:r>
      <w:r w:rsidR="009D36AB">
        <w:rPr>
          <w:rFonts w:ascii="黑体" w:eastAsia="黑体" w:hAnsi="黑体" w:hint="eastAsia"/>
          <w:sz w:val="28"/>
          <w:u w:val="single"/>
        </w:rPr>
        <w:t xml:space="preserve">长城精品奥特莱斯项目 </w:t>
      </w:r>
      <w:r w:rsidR="009D36AB">
        <w:rPr>
          <w:rFonts w:ascii="黑体" w:eastAsia="黑体" w:hAnsi="黑体"/>
          <w:sz w:val="28"/>
          <w:u w:val="single"/>
        </w:rPr>
        <w:t xml:space="preserve"> </w:t>
      </w:r>
      <w:r w:rsidR="009D36AB">
        <w:rPr>
          <w:rFonts w:ascii="黑体" w:eastAsia="黑体" w:hAnsi="黑体" w:hint="eastAsia"/>
          <w:sz w:val="28"/>
          <w:u w:val="single"/>
        </w:rPr>
        <w:t xml:space="preserve"> </w:t>
      </w:r>
      <w:r w:rsidR="009D36AB">
        <w:rPr>
          <w:rFonts w:ascii="黑体" w:eastAsia="黑体" w:hAnsi="黑体"/>
          <w:sz w:val="28"/>
          <w:u w:val="single"/>
        </w:rPr>
        <w:t xml:space="preserve">  </w:t>
      </w:r>
      <w:r w:rsidR="00825D92">
        <w:rPr>
          <w:rFonts w:ascii="黑体" w:eastAsia="黑体" w:hAnsi="黑体"/>
          <w:sz w:val="28"/>
          <w:u w:val="single"/>
        </w:rPr>
        <w:t xml:space="preserve">  </w:t>
      </w:r>
    </w:p>
    <w:p w:rsidR="008612EE" w:rsidRPr="00FD1ECF" w:rsidRDefault="008612EE" w:rsidP="00FB7557">
      <w:pPr>
        <w:ind w:firstLineChars="450" w:firstLine="1260"/>
        <w:rPr>
          <w:rFonts w:ascii="黑体" w:eastAsia="黑体" w:hAnsi="黑体"/>
          <w:sz w:val="28"/>
        </w:rPr>
      </w:pPr>
      <w:r w:rsidRPr="00FD1ECF">
        <w:rPr>
          <w:rFonts w:ascii="黑体" w:eastAsia="黑体" w:hAnsi="黑体" w:hint="eastAsia"/>
          <w:sz w:val="28"/>
        </w:rPr>
        <w:t xml:space="preserve">项 目 编 号  </w:t>
      </w:r>
      <w:r w:rsidR="00E377D6" w:rsidRPr="00FD1ECF">
        <w:rPr>
          <w:rFonts w:ascii="黑体" w:eastAsia="黑体" w:hAnsi="黑体" w:hint="eastAsia"/>
          <w:sz w:val="28"/>
          <w:u w:val="single"/>
        </w:rPr>
        <w:t xml:space="preserve">                     </w:t>
      </w:r>
      <w:r w:rsidR="00FB7557">
        <w:rPr>
          <w:rFonts w:ascii="黑体" w:eastAsia="黑体" w:hAnsi="黑体" w:hint="eastAsia"/>
          <w:sz w:val="28"/>
          <w:u w:val="single"/>
        </w:rPr>
        <w:t xml:space="preserve">           </w:t>
      </w:r>
      <w:r w:rsidR="00DE5A8F">
        <w:rPr>
          <w:rFonts w:ascii="黑体" w:eastAsia="黑体" w:hAnsi="黑体" w:hint="eastAsia"/>
          <w:sz w:val="28"/>
          <w:u w:val="single"/>
        </w:rPr>
        <w:t xml:space="preserve"> </w:t>
      </w:r>
      <w:r w:rsidR="00E377D6" w:rsidRPr="00FD1ECF">
        <w:rPr>
          <w:rFonts w:ascii="黑体" w:eastAsia="黑体" w:hAnsi="黑体" w:hint="eastAsia"/>
          <w:sz w:val="28"/>
          <w:u w:val="single"/>
        </w:rPr>
        <w:t xml:space="preserve"> </w:t>
      </w:r>
    </w:p>
    <w:p w:rsidR="008612EE" w:rsidRPr="00825D92" w:rsidRDefault="008612EE" w:rsidP="00FB7557">
      <w:pPr>
        <w:ind w:firstLineChars="450" w:firstLine="1260"/>
        <w:rPr>
          <w:rFonts w:ascii="黑体" w:eastAsia="黑体" w:hAnsi="黑体"/>
          <w:sz w:val="28"/>
        </w:rPr>
      </w:pPr>
      <w:r w:rsidRPr="00FD1ECF">
        <w:rPr>
          <w:rFonts w:ascii="黑体" w:eastAsia="黑体" w:hAnsi="黑体" w:hint="eastAsia"/>
          <w:sz w:val="28"/>
        </w:rPr>
        <w:t xml:space="preserve">建 设 地 点  </w:t>
      </w:r>
      <w:r w:rsidR="00E377D6" w:rsidRPr="00FD1ECF">
        <w:rPr>
          <w:rFonts w:ascii="黑体" w:eastAsia="黑体" w:hAnsi="黑体" w:hint="eastAsia"/>
          <w:sz w:val="28"/>
          <w:u w:val="single"/>
        </w:rPr>
        <w:t xml:space="preserve">  </w:t>
      </w:r>
      <w:r w:rsidR="00FB7557">
        <w:rPr>
          <w:rFonts w:ascii="黑体" w:eastAsia="黑体" w:hAnsi="黑体" w:hint="eastAsia"/>
          <w:sz w:val="28"/>
          <w:u w:val="single"/>
        </w:rPr>
        <w:t xml:space="preserve">      </w:t>
      </w:r>
      <w:r w:rsidR="00825D92" w:rsidRPr="00825D92">
        <w:rPr>
          <w:rFonts w:ascii="黑体" w:eastAsia="黑体" w:hAnsi="黑体"/>
          <w:sz w:val="28"/>
          <w:u w:val="single"/>
        </w:rPr>
        <w:t xml:space="preserve"> </w:t>
      </w:r>
      <w:r w:rsidR="005D4076" w:rsidRPr="00825D92">
        <w:rPr>
          <w:rFonts w:ascii="黑体" w:eastAsia="黑体" w:hAnsi="黑体" w:cs="Times New Roman" w:hint="eastAsia"/>
          <w:color w:val="000000"/>
          <w:sz w:val="28"/>
          <w:szCs w:val="28"/>
          <w:u w:val="single"/>
        </w:rPr>
        <w:t>北京市</w:t>
      </w:r>
      <w:r w:rsidR="009D36AB">
        <w:rPr>
          <w:rFonts w:ascii="黑体" w:eastAsia="黑体" w:hAnsi="黑体" w:cs="Times New Roman" w:hint="eastAsia"/>
          <w:color w:val="000000"/>
          <w:sz w:val="28"/>
          <w:szCs w:val="28"/>
          <w:u w:val="single"/>
        </w:rPr>
        <w:t>昌平区</w:t>
      </w:r>
      <w:r w:rsidR="002D64FB">
        <w:rPr>
          <w:rFonts w:ascii="黑体" w:eastAsia="黑体" w:hAnsi="黑体" w:cs="Times New Roman" w:hint="eastAsia"/>
          <w:color w:val="000000"/>
          <w:sz w:val="28"/>
          <w:szCs w:val="28"/>
          <w:u w:val="single"/>
        </w:rPr>
        <w:t xml:space="preserve"> </w:t>
      </w:r>
      <w:r w:rsidR="002D64FB">
        <w:rPr>
          <w:rFonts w:ascii="黑体" w:eastAsia="黑体" w:hAnsi="黑体" w:cs="Times New Roman"/>
          <w:color w:val="000000"/>
          <w:sz w:val="28"/>
          <w:szCs w:val="28"/>
          <w:u w:val="single"/>
        </w:rPr>
        <w:t xml:space="preserve">    </w:t>
      </w:r>
      <w:r w:rsidR="00E377D6" w:rsidRPr="00825D92">
        <w:rPr>
          <w:rFonts w:ascii="黑体" w:eastAsia="黑体" w:hAnsi="黑体" w:hint="eastAsia"/>
          <w:sz w:val="28"/>
          <w:u w:val="single"/>
        </w:rPr>
        <w:t xml:space="preserve">        </w:t>
      </w:r>
    </w:p>
    <w:p w:rsidR="008612EE" w:rsidRPr="00FD1ECF" w:rsidRDefault="008612EE" w:rsidP="00FB7557">
      <w:pPr>
        <w:ind w:firstLineChars="450" w:firstLine="1260"/>
        <w:rPr>
          <w:rFonts w:ascii="黑体" w:eastAsia="黑体" w:hAnsi="黑体"/>
          <w:sz w:val="28"/>
          <w:u w:val="single"/>
        </w:rPr>
      </w:pPr>
      <w:r w:rsidRPr="00825D92">
        <w:rPr>
          <w:rFonts w:ascii="黑体" w:eastAsia="黑体" w:hAnsi="黑体" w:hint="eastAsia"/>
          <w:sz w:val="28"/>
        </w:rPr>
        <w:t xml:space="preserve">验 收 单 位  </w:t>
      </w:r>
      <w:r w:rsidR="00E377D6" w:rsidRPr="00825D92">
        <w:rPr>
          <w:rFonts w:ascii="黑体" w:eastAsia="黑体" w:hAnsi="黑体" w:hint="eastAsia"/>
          <w:sz w:val="28"/>
          <w:u w:val="single"/>
        </w:rPr>
        <w:t xml:space="preserve">  </w:t>
      </w:r>
      <w:r w:rsidR="00FB7557" w:rsidRPr="00825D92">
        <w:rPr>
          <w:rFonts w:ascii="黑体" w:eastAsia="黑体" w:hAnsi="黑体" w:hint="eastAsia"/>
          <w:sz w:val="28"/>
          <w:u w:val="single"/>
        </w:rPr>
        <w:t xml:space="preserve"> </w:t>
      </w:r>
      <w:r w:rsidR="009D36AB" w:rsidRPr="009D36AB">
        <w:rPr>
          <w:rFonts w:ascii="黑体" w:eastAsia="黑体" w:hAnsi="黑体" w:cs="Times New Roman" w:hint="eastAsia"/>
          <w:color w:val="000000"/>
          <w:sz w:val="28"/>
          <w:szCs w:val="28"/>
          <w:u w:val="single"/>
        </w:rPr>
        <w:t>北京八达岭精奥莱商业有限公司</w:t>
      </w:r>
      <w:r w:rsidR="00227D0A">
        <w:rPr>
          <w:rFonts w:ascii="黑体" w:eastAsia="黑体" w:hAnsi="黑体" w:cs="Times New Roman" w:hint="eastAsia"/>
          <w:color w:val="000000"/>
          <w:sz w:val="28"/>
          <w:szCs w:val="28"/>
          <w:u w:val="single"/>
        </w:rPr>
        <w:t xml:space="preserve"> </w:t>
      </w:r>
      <w:r w:rsidR="002601AF">
        <w:rPr>
          <w:rFonts w:ascii="黑体" w:eastAsia="黑体" w:hAnsi="黑体" w:hint="eastAsia"/>
          <w:sz w:val="28"/>
          <w:u w:val="single"/>
        </w:rPr>
        <w:t xml:space="preserve"> </w:t>
      </w:r>
    </w:p>
    <w:p w:rsidR="004103AD" w:rsidRDefault="004103AD" w:rsidP="004103AD">
      <w:pPr>
        <w:jc w:val="left"/>
        <w:rPr>
          <w:sz w:val="24"/>
        </w:rPr>
      </w:pPr>
    </w:p>
    <w:p w:rsidR="00FB7557" w:rsidRDefault="00FB7557" w:rsidP="004103AD">
      <w:pPr>
        <w:jc w:val="left"/>
        <w:rPr>
          <w:sz w:val="24"/>
        </w:rPr>
      </w:pPr>
    </w:p>
    <w:p w:rsidR="00FD1ECF" w:rsidRPr="00FB7557" w:rsidRDefault="005D4076" w:rsidP="005D4076">
      <w:pPr>
        <w:jc w:val="center"/>
        <w:rPr>
          <w:rFonts w:ascii="Times New Roman" w:eastAsia="黑体" w:hAnsi="Times New Roman" w:cs="Times New Roman"/>
          <w:b/>
          <w:sz w:val="28"/>
        </w:rPr>
      </w:pPr>
      <w:r w:rsidRPr="00FB7557">
        <w:rPr>
          <w:rFonts w:ascii="Times New Roman" w:eastAsia="黑体" w:hAnsi="Times New Roman" w:cs="Times New Roman"/>
          <w:b/>
          <w:sz w:val="28"/>
          <w:u w:val="single"/>
        </w:rPr>
        <w:t>201</w:t>
      </w:r>
      <w:r w:rsidR="00825D92">
        <w:rPr>
          <w:rFonts w:ascii="Times New Roman" w:eastAsia="黑体" w:hAnsi="Times New Roman" w:cs="Times New Roman"/>
          <w:b/>
          <w:sz w:val="28"/>
          <w:u w:val="single"/>
        </w:rPr>
        <w:t>8</w:t>
      </w:r>
      <w:r w:rsidR="004103AD" w:rsidRPr="00FB7557">
        <w:rPr>
          <w:rFonts w:ascii="Times New Roman" w:eastAsia="黑体" w:hAnsi="Times New Roman" w:cs="Times New Roman"/>
          <w:b/>
          <w:sz w:val="28"/>
        </w:rPr>
        <w:t>年</w:t>
      </w:r>
      <w:r w:rsidR="00FB7557" w:rsidRPr="00FB7557">
        <w:rPr>
          <w:rFonts w:ascii="Times New Roman" w:eastAsia="黑体" w:hAnsi="Times New Roman" w:cs="Times New Roman" w:hint="eastAsia"/>
          <w:b/>
          <w:sz w:val="28"/>
          <w:u w:val="single"/>
        </w:rPr>
        <w:t xml:space="preserve"> </w:t>
      </w:r>
      <w:r w:rsidR="00825D92">
        <w:rPr>
          <w:rFonts w:ascii="Times New Roman" w:eastAsia="黑体" w:hAnsi="Times New Roman" w:cs="Times New Roman"/>
          <w:b/>
          <w:sz w:val="28"/>
          <w:u w:val="single"/>
        </w:rPr>
        <w:t>6</w:t>
      </w:r>
      <w:r w:rsidR="00FB7557" w:rsidRPr="00FB7557">
        <w:rPr>
          <w:rFonts w:ascii="Times New Roman" w:eastAsia="黑体" w:hAnsi="Times New Roman" w:cs="Times New Roman" w:hint="eastAsia"/>
          <w:b/>
          <w:sz w:val="28"/>
          <w:u w:val="single"/>
        </w:rPr>
        <w:t xml:space="preserve"> </w:t>
      </w:r>
      <w:r w:rsidR="004103AD" w:rsidRPr="00FB7557">
        <w:rPr>
          <w:rFonts w:ascii="Times New Roman" w:eastAsia="黑体" w:hAnsi="Times New Roman" w:cs="Times New Roman"/>
          <w:b/>
          <w:sz w:val="28"/>
        </w:rPr>
        <w:t>月</w:t>
      </w:r>
      <w:r w:rsidR="00FB7557" w:rsidRPr="00FB7557">
        <w:rPr>
          <w:rFonts w:ascii="Times New Roman" w:eastAsia="黑体" w:hAnsi="Times New Roman" w:cs="Times New Roman" w:hint="eastAsia"/>
          <w:b/>
          <w:sz w:val="28"/>
          <w:u w:val="single"/>
        </w:rPr>
        <w:t xml:space="preserve"> </w:t>
      </w:r>
      <w:r w:rsidR="009D36AB">
        <w:rPr>
          <w:rFonts w:ascii="Times New Roman" w:eastAsia="黑体" w:hAnsi="Times New Roman" w:cs="Times New Roman"/>
          <w:b/>
          <w:sz w:val="28"/>
          <w:u w:val="single"/>
        </w:rPr>
        <w:t>25</w:t>
      </w:r>
      <w:r w:rsidR="00FB7557" w:rsidRPr="00FB7557">
        <w:rPr>
          <w:rFonts w:ascii="Times New Roman" w:eastAsia="黑体" w:hAnsi="Times New Roman" w:cs="Times New Roman" w:hint="eastAsia"/>
          <w:b/>
          <w:sz w:val="28"/>
          <w:u w:val="single"/>
        </w:rPr>
        <w:t xml:space="preserve"> </w:t>
      </w:r>
      <w:r w:rsidR="004103AD" w:rsidRPr="00FB7557">
        <w:rPr>
          <w:rFonts w:ascii="Times New Roman" w:eastAsia="黑体" w:hAnsi="Times New Roman" w:cs="Times New Roman"/>
          <w:b/>
          <w:sz w:val="28"/>
        </w:rPr>
        <w:t>日</w:t>
      </w:r>
    </w:p>
    <w:p w:rsidR="00825D92" w:rsidRDefault="00825D92" w:rsidP="00FB7557">
      <w:pPr>
        <w:ind w:firstLineChars="200" w:firstLine="602"/>
        <w:jc w:val="left"/>
        <w:rPr>
          <w:rFonts w:ascii="黑体" w:eastAsia="黑体" w:hAnsi="黑体"/>
          <w:b/>
          <w:sz w:val="30"/>
          <w:szCs w:val="30"/>
        </w:rPr>
        <w:sectPr w:rsidR="00825D92" w:rsidSect="005D4076">
          <w:pgSz w:w="11906" w:h="16838"/>
          <w:pgMar w:top="1440" w:right="1701" w:bottom="1440" w:left="1701" w:header="851" w:footer="992" w:gutter="0"/>
          <w:cols w:space="425"/>
          <w:docGrid w:type="lines" w:linePitch="312"/>
        </w:sectPr>
      </w:pPr>
    </w:p>
    <w:p w:rsidR="004103AD" w:rsidRPr="00FB7557" w:rsidRDefault="00844A23" w:rsidP="00FB7557">
      <w:pPr>
        <w:ind w:firstLineChars="200" w:firstLine="602"/>
        <w:jc w:val="left"/>
        <w:rPr>
          <w:rFonts w:ascii="黑体" w:eastAsia="黑体" w:hAnsi="黑体"/>
          <w:b/>
          <w:sz w:val="30"/>
          <w:szCs w:val="30"/>
        </w:rPr>
      </w:pPr>
      <w:r w:rsidRPr="00FB7557">
        <w:rPr>
          <w:rFonts w:ascii="黑体" w:eastAsia="黑体" w:hAnsi="黑体" w:hint="eastAsia"/>
          <w:b/>
          <w:sz w:val="30"/>
          <w:szCs w:val="30"/>
        </w:rPr>
        <w:lastRenderedPageBreak/>
        <w:t>一、</w:t>
      </w:r>
      <w:r w:rsidR="00734915">
        <w:rPr>
          <w:rFonts w:ascii="Times New Roman" w:eastAsia="黑体" w:hAnsi="Times New Roman" w:cs="Times New Roman" w:hint="eastAsia"/>
          <w:sz w:val="30"/>
          <w:szCs w:val="30"/>
        </w:rPr>
        <w:t>生产建设项目水土保持设施验收基本情况表</w:t>
      </w:r>
    </w:p>
    <w:tbl>
      <w:tblPr>
        <w:tblStyle w:val="a3"/>
        <w:tblW w:w="8522" w:type="dxa"/>
        <w:jc w:val="center"/>
        <w:tblLook w:val="04A0" w:firstRow="1" w:lastRow="0" w:firstColumn="1" w:lastColumn="0" w:noHBand="0" w:noVBand="1"/>
      </w:tblPr>
      <w:tblGrid>
        <w:gridCol w:w="3227"/>
        <w:gridCol w:w="2594"/>
        <w:gridCol w:w="1375"/>
        <w:gridCol w:w="1326"/>
      </w:tblGrid>
      <w:tr w:rsidR="00184658" w:rsidRPr="006E6EFF" w:rsidTr="009C7518">
        <w:trPr>
          <w:trHeight w:val="907"/>
          <w:jc w:val="center"/>
        </w:trPr>
        <w:tc>
          <w:tcPr>
            <w:tcW w:w="3227" w:type="dxa"/>
            <w:vAlign w:val="center"/>
          </w:tcPr>
          <w:p w:rsidR="00184658" w:rsidRPr="00FB7557" w:rsidRDefault="00184658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项目名称</w:t>
            </w:r>
          </w:p>
        </w:tc>
        <w:tc>
          <w:tcPr>
            <w:tcW w:w="2594" w:type="dxa"/>
            <w:vAlign w:val="center"/>
          </w:tcPr>
          <w:p w:rsidR="00184658" w:rsidRPr="000D5DF0" w:rsidRDefault="002D51B2" w:rsidP="002261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长城精品奥特莱斯项目</w:t>
            </w:r>
          </w:p>
        </w:tc>
        <w:tc>
          <w:tcPr>
            <w:tcW w:w="1375" w:type="dxa"/>
            <w:vAlign w:val="center"/>
          </w:tcPr>
          <w:p w:rsidR="00184658" w:rsidRPr="00FB7557" w:rsidRDefault="00184658" w:rsidP="00184658">
            <w:pPr>
              <w:spacing w:line="240" w:lineRule="atLeast"/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行业类别</w:t>
            </w:r>
          </w:p>
        </w:tc>
        <w:tc>
          <w:tcPr>
            <w:tcW w:w="1326" w:type="dxa"/>
            <w:vAlign w:val="center"/>
          </w:tcPr>
          <w:p w:rsidR="00184658" w:rsidRPr="00FB7557" w:rsidRDefault="002D51B2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房地产</w:t>
            </w:r>
          </w:p>
        </w:tc>
      </w:tr>
      <w:tr w:rsidR="00184658" w:rsidRPr="006E6EFF" w:rsidTr="009C7518">
        <w:trPr>
          <w:trHeight w:val="907"/>
          <w:jc w:val="center"/>
        </w:trPr>
        <w:tc>
          <w:tcPr>
            <w:tcW w:w="3227" w:type="dxa"/>
            <w:vAlign w:val="center"/>
          </w:tcPr>
          <w:p w:rsidR="00184658" w:rsidRPr="00356C39" w:rsidRDefault="00184658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356C39">
              <w:rPr>
                <w:rFonts w:ascii="宋体" w:eastAsia="宋体" w:hAnsi="宋体" w:hint="eastAsia"/>
                <w:szCs w:val="21"/>
              </w:rPr>
              <w:t>主管部门</w:t>
            </w:r>
          </w:p>
          <w:p w:rsidR="00184658" w:rsidRPr="00356C39" w:rsidRDefault="00184658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356C39">
              <w:rPr>
                <w:rFonts w:ascii="宋体" w:eastAsia="宋体" w:hAnsi="宋体" w:hint="eastAsia"/>
                <w:szCs w:val="21"/>
              </w:rPr>
              <w:t>（或主要投资方）</w:t>
            </w:r>
          </w:p>
        </w:tc>
        <w:tc>
          <w:tcPr>
            <w:tcW w:w="2594" w:type="dxa"/>
            <w:vAlign w:val="center"/>
          </w:tcPr>
          <w:p w:rsidR="00184658" w:rsidRPr="00356C39" w:rsidRDefault="002D51B2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356C39">
              <w:rPr>
                <w:rFonts w:ascii="宋体" w:eastAsia="宋体" w:hAnsi="宋体" w:hint="eastAsia"/>
                <w:szCs w:val="21"/>
              </w:rPr>
              <w:t>北京八达岭精奥莱商业有限公司</w:t>
            </w:r>
          </w:p>
        </w:tc>
        <w:tc>
          <w:tcPr>
            <w:tcW w:w="1375" w:type="dxa"/>
            <w:vAlign w:val="center"/>
          </w:tcPr>
          <w:p w:rsidR="00184658" w:rsidRPr="00FB7557" w:rsidRDefault="00184658" w:rsidP="00184658">
            <w:pPr>
              <w:spacing w:line="240" w:lineRule="atLeast"/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项目性质</w:t>
            </w:r>
          </w:p>
        </w:tc>
        <w:tc>
          <w:tcPr>
            <w:tcW w:w="1326" w:type="dxa"/>
            <w:vAlign w:val="center"/>
          </w:tcPr>
          <w:p w:rsidR="00184658" w:rsidRPr="00FB7557" w:rsidRDefault="00FB7557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新建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水土保持方案批复机关、文号及时间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B7557" w:rsidRDefault="002D51B2" w:rsidP="00FB75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Cs w:val="21"/>
              </w:rPr>
              <w:t>昌平区</w:t>
            </w:r>
            <w:r w:rsidR="00FB7557" w:rsidRPr="00FB7557">
              <w:rPr>
                <w:rFonts w:ascii="Times New Roman" w:hAnsi="Times New Roman" w:cs="Times New Roman"/>
                <w:szCs w:val="21"/>
              </w:rPr>
              <w:t>水务</w:t>
            </w:r>
            <w:proofErr w:type="gramEnd"/>
            <w:r w:rsidR="00FB7557" w:rsidRPr="00FB7557">
              <w:rPr>
                <w:rFonts w:ascii="Times New Roman" w:hAnsi="Times New Roman" w:cs="Times New Roman"/>
                <w:szCs w:val="21"/>
              </w:rPr>
              <w:t>局、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昌</w:t>
            </w:r>
            <w:proofErr w:type="gramStart"/>
            <w:r w:rsidRPr="002D51B2">
              <w:rPr>
                <w:rFonts w:ascii="Times New Roman" w:hAnsi="Times New Roman" w:cs="Times New Roman" w:hint="eastAsia"/>
                <w:szCs w:val="21"/>
              </w:rPr>
              <w:t>水行许字</w:t>
            </w:r>
            <w:proofErr w:type="gramEnd"/>
            <w:r w:rsidRPr="002D51B2">
              <w:rPr>
                <w:rFonts w:ascii="Times New Roman" w:hAnsi="Times New Roman" w:cs="Times New Roman" w:hint="eastAsia"/>
                <w:szCs w:val="21"/>
              </w:rPr>
              <w:t>[2014</w:t>
            </w:r>
            <w:r w:rsidR="006D2ADF">
              <w:rPr>
                <w:rFonts w:ascii="Times New Roman" w:hAnsi="Times New Roman" w:cs="Times New Roman" w:hint="eastAsia"/>
                <w:szCs w:val="21"/>
              </w:rPr>
              <w:t>]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第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78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号</w:t>
            </w:r>
            <w:r w:rsidR="00FB7557" w:rsidRPr="00FB7557">
              <w:rPr>
                <w:rFonts w:ascii="Times New Roman" w:hAnsi="Times New Roman" w:cs="Times New Roman"/>
                <w:szCs w:val="21"/>
              </w:rPr>
              <w:t>、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2014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年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7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月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31</w:t>
            </w:r>
            <w:r w:rsidRPr="002D51B2">
              <w:rPr>
                <w:rFonts w:ascii="Times New Roman" w:hAnsi="Times New Roman" w:cs="Times New Roman" w:hint="eastAsia"/>
                <w:szCs w:val="21"/>
              </w:rPr>
              <w:t>日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水土保持</w:t>
            </w:r>
            <w:r w:rsidR="00184658" w:rsidRPr="00FB7557">
              <w:rPr>
                <w:rFonts w:ascii="宋体" w:eastAsia="宋体" w:hAnsi="宋体" w:hint="eastAsia"/>
                <w:szCs w:val="21"/>
              </w:rPr>
              <w:t>方案</w:t>
            </w:r>
            <w:r w:rsidRPr="00FB7557">
              <w:rPr>
                <w:rFonts w:ascii="宋体" w:eastAsia="宋体" w:hAnsi="宋体" w:hint="eastAsia"/>
                <w:szCs w:val="21"/>
              </w:rPr>
              <w:t>变更批复机关、文号及时间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B7557" w:rsidRDefault="00FB7557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3F58F3" w:rsidP="003F58F3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水土保持初步设计批复机关、文号及时间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B7557" w:rsidRDefault="000B523B" w:rsidP="006E0D5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无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项目建设起止时间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C7CA4" w:rsidRDefault="002D51B2" w:rsidP="0022612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51B2">
              <w:rPr>
                <w:rFonts w:ascii="Times New Roman" w:eastAsia="宋体" w:hAnsi="Times New Roman" w:cs="Times New Roman" w:hint="eastAsia"/>
                <w:szCs w:val="21"/>
              </w:rPr>
              <w:t>2013</w:t>
            </w:r>
            <w:r w:rsidRPr="002D51B2"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 w:rsidRPr="002D51B2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 w:rsidRPr="002D51B2"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 w:rsidR="00FC7CA4" w:rsidRPr="00FC7CA4">
              <w:rPr>
                <w:rFonts w:ascii="Times New Roman" w:eastAsia="宋体" w:hAnsi="Times New Roman" w:cs="Times New Roman"/>
                <w:szCs w:val="21"/>
              </w:rPr>
              <w:t>开工，</w:t>
            </w:r>
            <w:r w:rsidRPr="002D51B2">
              <w:rPr>
                <w:rFonts w:ascii="Times New Roman" w:eastAsia="宋体" w:hAnsi="Times New Roman" w:cs="Times New Roman" w:hint="eastAsia"/>
                <w:szCs w:val="21"/>
              </w:rPr>
              <w:t>2015</w:t>
            </w:r>
            <w:r w:rsidRPr="002D51B2">
              <w:rPr>
                <w:rFonts w:ascii="Times New Roman" w:eastAsia="宋体" w:hAnsi="Times New Roman" w:cs="Times New Roman" w:hint="eastAsia"/>
                <w:szCs w:val="21"/>
              </w:rPr>
              <w:t>年</w:t>
            </w:r>
            <w:r w:rsidRPr="002D51B2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51B2">
              <w:rPr>
                <w:rFonts w:ascii="Times New Roman" w:eastAsia="宋体" w:hAnsi="Times New Roman" w:cs="Times New Roman" w:hint="eastAsia"/>
                <w:szCs w:val="21"/>
              </w:rPr>
              <w:t>月</w:t>
            </w:r>
            <w:r w:rsidR="00FC7CA4" w:rsidRPr="00FC7CA4">
              <w:rPr>
                <w:rFonts w:ascii="Times New Roman" w:eastAsia="宋体" w:hAnsi="Times New Roman" w:cs="Times New Roman"/>
                <w:szCs w:val="21"/>
              </w:rPr>
              <w:t>完工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水土保持方案编制单位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B7557" w:rsidRDefault="002D51B2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2D51B2">
              <w:rPr>
                <w:rFonts w:ascii="宋体" w:eastAsia="宋体" w:hAnsi="宋体" w:hint="eastAsia"/>
                <w:szCs w:val="21"/>
              </w:rPr>
              <w:t>北京沃尔德防灾绿化技术有限公司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水土保持初步设计单位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2D51B2" w:rsidRDefault="002D51B2" w:rsidP="00226121">
            <w:pPr>
              <w:jc w:val="center"/>
              <w:rPr>
                <w:rFonts w:ascii="宋体" w:eastAsia="宋体" w:hAnsi="宋体"/>
                <w:szCs w:val="21"/>
                <w:highlight w:val="yellow"/>
              </w:rPr>
            </w:pPr>
            <w:r w:rsidRPr="002D51B2">
              <w:rPr>
                <w:rFonts w:ascii="宋体" w:eastAsia="宋体" w:hAnsi="宋体" w:hint="eastAsia"/>
                <w:szCs w:val="21"/>
              </w:rPr>
              <w:t>美国奥琳奇国际建筑和规划师事务所和太平洋建筑设计有限公司</w:t>
            </w:r>
            <w:r>
              <w:rPr>
                <w:rFonts w:ascii="宋体" w:eastAsia="宋体" w:hAnsi="宋体" w:hint="eastAsia"/>
                <w:szCs w:val="21"/>
              </w:rPr>
              <w:t>（主体设计）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水土保持监测单位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B7557" w:rsidRDefault="008B093A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8B093A">
              <w:rPr>
                <w:rFonts w:hint="eastAsia"/>
              </w:rPr>
              <w:t>北京林淼生态环境技术有限公司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bookmarkStart w:id="0" w:name="_Hlk516230604"/>
            <w:r w:rsidRPr="00FB7557">
              <w:rPr>
                <w:rFonts w:ascii="宋体" w:eastAsia="宋体" w:hAnsi="宋体" w:hint="eastAsia"/>
                <w:szCs w:val="21"/>
              </w:rPr>
              <w:t>水土保持施工单位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B7557" w:rsidRDefault="00CF1E92" w:rsidP="00B16A11">
            <w:pPr>
              <w:jc w:val="center"/>
              <w:rPr>
                <w:rFonts w:ascii="宋体" w:eastAsia="宋体" w:hAnsi="宋体"/>
                <w:szCs w:val="21"/>
              </w:rPr>
            </w:pPr>
            <w:r w:rsidRPr="00CF1E92">
              <w:rPr>
                <w:rFonts w:ascii="宋体" w:eastAsia="宋体" w:hAnsi="宋体" w:hint="eastAsia"/>
                <w:szCs w:val="21"/>
              </w:rPr>
              <w:t>中国建筑一局（集团）有限公司</w:t>
            </w:r>
          </w:p>
        </w:tc>
      </w:tr>
      <w:bookmarkEnd w:id="0"/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水土保持监理单位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B7557" w:rsidRDefault="002D51B2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2D51B2">
              <w:rPr>
                <w:rFonts w:ascii="宋体" w:eastAsia="宋体" w:hAnsi="宋体" w:hint="eastAsia"/>
                <w:szCs w:val="21"/>
              </w:rPr>
              <w:t>北京中景恒基工程管理有限公司</w:t>
            </w:r>
          </w:p>
        </w:tc>
      </w:tr>
      <w:tr w:rsidR="00226121" w:rsidRPr="006E6EFF" w:rsidTr="006E6EFF">
        <w:trPr>
          <w:trHeight w:val="907"/>
          <w:jc w:val="center"/>
        </w:trPr>
        <w:tc>
          <w:tcPr>
            <w:tcW w:w="3227" w:type="dxa"/>
            <w:vAlign w:val="center"/>
          </w:tcPr>
          <w:p w:rsidR="00226121" w:rsidRPr="00FB7557" w:rsidRDefault="00226121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B7557">
              <w:rPr>
                <w:rFonts w:ascii="宋体" w:eastAsia="宋体" w:hAnsi="宋体" w:hint="eastAsia"/>
                <w:szCs w:val="21"/>
              </w:rPr>
              <w:t>水土保持设施验收报告编制单位</w:t>
            </w:r>
          </w:p>
        </w:tc>
        <w:tc>
          <w:tcPr>
            <w:tcW w:w="5295" w:type="dxa"/>
            <w:gridSpan w:val="3"/>
            <w:vAlign w:val="center"/>
          </w:tcPr>
          <w:p w:rsidR="00226121" w:rsidRPr="00FB7557" w:rsidRDefault="00A02684" w:rsidP="00226121">
            <w:pPr>
              <w:jc w:val="center"/>
              <w:rPr>
                <w:rFonts w:ascii="宋体" w:eastAsia="宋体" w:hAnsi="宋体"/>
                <w:szCs w:val="21"/>
              </w:rPr>
            </w:pPr>
            <w:r w:rsidRPr="00FC7CA4">
              <w:rPr>
                <w:rFonts w:ascii="Times New Roman" w:eastAsia="宋体" w:hAnsi="Times New Roman" w:cs="Times New Roman" w:hint="eastAsia"/>
                <w:szCs w:val="21"/>
              </w:rPr>
              <w:t>北京林淼生态环境技术有限公司</w:t>
            </w:r>
          </w:p>
        </w:tc>
      </w:tr>
    </w:tbl>
    <w:p w:rsidR="00FB7557" w:rsidRDefault="00FB7557" w:rsidP="006E6EFF">
      <w:pPr>
        <w:ind w:firstLineChars="200" w:firstLine="643"/>
        <w:jc w:val="left"/>
        <w:rPr>
          <w:rFonts w:ascii="黑体" w:eastAsia="黑体" w:hAnsi="黑体"/>
          <w:b/>
          <w:sz w:val="32"/>
        </w:rPr>
        <w:sectPr w:rsidR="00FB7557" w:rsidSect="005D4076">
          <w:pgSz w:w="11906" w:h="16838"/>
          <w:pgMar w:top="1440" w:right="1701" w:bottom="1440" w:left="1701" w:header="851" w:footer="992" w:gutter="0"/>
          <w:cols w:space="425"/>
          <w:docGrid w:type="lines" w:linePitch="312"/>
        </w:sectPr>
      </w:pPr>
    </w:p>
    <w:p w:rsidR="00226121" w:rsidRPr="00FD1ECF" w:rsidRDefault="006E6EFF" w:rsidP="006E6EFF">
      <w:pPr>
        <w:ind w:firstLineChars="200" w:firstLine="643"/>
        <w:jc w:val="left"/>
        <w:rPr>
          <w:rFonts w:ascii="黑体" w:eastAsia="黑体" w:hAnsi="黑体"/>
          <w:b/>
          <w:sz w:val="32"/>
        </w:rPr>
      </w:pPr>
      <w:r w:rsidRPr="00FD1ECF">
        <w:rPr>
          <w:rFonts w:ascii="黑体" w:eastAsia="黑体" w:hAnsi="黑体" w:hint="eastAsia"/>
          <w:b/>
          <w:sz w:val="32"/>
        </w:rPr>
        <w:lastRenderedPageBreak/>
        <w:t>二、验收意见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6EFF" w:rsidRPr="009F1C7E" w:rsidTr="006E6EFF">
        <w:tc>
          <w:tcPr>
            <w:tcW w:w="8522" w:type="dxa"/>
          </w:tcPr>
          <w:p w:rsidR="00292513" w:rsidRPr="004D35B9" w:rsidRDefault="00292513" w:rsidP="00292513">
            <w:pPr>
              <w:adjustRightInd w:val="0"/>
              <w:snapToGrid w:val="0"/>
              <w:spacing w:line="580" w:lineRule="exact"/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4D35B9">
              <w:rPr>
                <w:rFonts w:ascii="Times New Roman" w:hAnsi="Times New Roman" w:cs="Times New Roman"/>
                <w:sz w:val="28"/>
                <w:szCs w:val="28"/>
              </w:rPr>
              <w:t>根据《开发建设项目水土保持设施验收管理办法》，</w:t>
            </w:r>
            <w:r w:rsidR="006D2ADF">
              <w:rPr>
                <w:rFonts w:ascii="Times New Roman" w:hAnsi="Times New Roman" w:cs="Times New Roman" w:hint="eastAsia"/>
                <w:sz w:val="28"/>
                <w:szCs w:val="28"/>
              </w:rPr>
              <w:t>北京八达岭精奥莱商业有限公司</w:t>
            </w:r>
            <w:r w:rsidRPr="004D35B9">
              <w:rPr>
                <w:rFonts w:ascii="Times New Roman" w:hAnsi="Times New Roman" w:cs="Times New Roman"/>
                <w:sz w:val="28"/>
                <w:szCs w:val="28"/>
              </w:rPr>
              <w:t>于</w:t>
            </w:r>
            <w:r w:rsidRPr="004D35B9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0B523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4D35B9"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 w:rsidR="000B523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2D51B2"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 w:rsidR="002D51B2" w:rsidRPr="002D51B2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Pr="002D51B2">
              <w:rPr>
                <w:rFonts w:ascii="Times New Roman" w:hAnsi="Times New Roman" w:cs="Times New Roman"/>
                <w:sz w:val="28"/>
                <w:szCs w:val="28"/>
              </w:rPr>
              <w:t>日主持召开了</w:t>
            </w:r>
            <w:r w:rsidRPr="002D51B2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长城精品奥特莱斯项目</w:t>
            </w:r>
            <w:r w:rsidRPr="002D51B2">
              <w:rPr>
                <w:rFonts w:ascii="Times New Roman" w:hAnsi="Times New Roman" w:cs="Times New Roman"/>
                <w:sz w:val="28"/>
                <w:szCs w:val="28"/>
              </w:rPr>
              <w:t>水土保持设施</w:t>
            </w:r>
            <w:r w:rsidR="000B523B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竣工</w:t>
            </w:r>
            <w:r w:rsidRPr="002D51B2">
              <w:rPr>
                <w:rFonts w:ascii="Times New Roman" w:hAnsi="Times New Roman" w:cs="Times New Roman"/>
                <w:sz w:val="28"/>
                <w:szCs w:val="28"/>
              </w:rPr>
              <w:t>验收会</w:t>
            </w:r>
            <w:r w:rsidRPr="002D51B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2D51B2">
              <w:rPr>
                <w:rFonts w:ascii="Times New Roman" w:hAnsi="Times New Roman" w:cs="Times New Roman"/>
                <w:sz w:val="28"/>
                <w:szCs w:val="28"/>
              </w:rPr>
              <w:t>。参加会议的有北京林淼生态环境技术有限公司</w:t>
            </w:r>
            <w:r w:rsidR="00E02741" w:rsidRPr="002D51B2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北京中景恒基工程管理有限</w:t>
            </w:r>
            <w:r w:rsidR="002D51B2" w:rsidRPr="005C277E">
              <w:rPr>
                <w:rFonts w:ascii="Times New Roman" w:hAnsi="Times New Roman" w:cs="Times New Roman" w:hint="eastAsia"/>
                <w:sz w:val="28"/>
                <w:szCs w:val="28"/>
              </w:rPr>
              <w:t>公司</w:t>
            </w:r>
            <w:r w:rsidR="004D35B9" w:rsidRPr="005C277E">
              <w:rPr>
                <w:rFonts w:ascii="Times New Roman" w:hAnsi="Times New Roman" w:cs="Times New Roman"/>
                <w:sz w:val="28"/>
                <w:szCs w:val="28"/>
              </w:rPr>
              <w:t>、</w:t>
            </w:r>
            <w:r w:rsidR="00734915" w:rsidRPr="00734915">
              <w:rPr>
                <w:rFonts w:ascii="Times New Roman" w:hAnsi="Times New Roman" w:cs="Times New Roman" w:hint="eastAsia"/>
                <w:sz w:val="28"/>
                <w:szCs w:val="28"/>
              </w:rPr>
              <w:t>北京沃尔德防灾绿化技术有限公司</w:t>
            </w:r>
            <w:r w:rsidR="00734915">
              <w:rPr>
                <w:rFonts w:ascii="Times New Roman" w:hAnsi="Times New Roman" w:cs="Times New Roman" w:hint="eastAsia"/>
                <w:sz w:val="28"/>
                <w:szCs w:val="28"/>
              </w:rPr>
              <w:t>、</w:t>
            </w:r>
            <w:r w:rsidR="005C277E" w:rsidRPr="005C277E">
              <w:rPr>
                <w:rFonts w:ascii="Times New Roman" w:hAnsi="Times New Roman" w:cs="Times New Roman" w:hint="eastAsia"/>
                <w:sz w:val="28"/>
                <w:szCs w:val="28"/>
              </w:rPr>
              <w:t>中国建筑一局（集团）有限公司</w:t>
            </w:r>
            <w:r w:rsidR="00734915">
              <w:rPr>
                <w:rFonts w:ascii="Times New Roman" w:hAnsi="Times New Roman" w:cs="Times New Roman" w:hint="eastAsia"/>
                <w:sz w:val="28"/>
                <w:szCs w:val="28"/>
              </w:rPr>
              <w:t>、</w:t>
            </w:r>
            <w:r w:rsidRPr="005C277E">
              <w:rPr>
                <w:rFonts w:ascii="Times New Roman" w:hAnsi="Times New Roman" w:cs="Times New Roman"/>
                <w:sz w:val="28"/>
                <w:szCs w:val="28"/>
              </w:rPr>
              <w:t>等单位的代表与专家，会议成立了验收组（名单附后）。</w:t>
            </w:r>
          </w:p>
          <w:p w:rsidR="00292513" w:rsidRPr="005918E1" w:rsidRDefault="00292513" w:rsidP="00292513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5918E1">
              <w:rPr>
                <w:rFonts w:ascii="Times New Roman" w:hAnsi="Times New Roman" w:cs="Times New Roman"/>
                <w:sz w:val="28"/>
                <w:szCs w:val="28"/>
              </w:rPr>
              <w:t>验收组及与会代表</w:t>
            </w:r>
            <w:r w:rsidR="006D2ADF">
              <w:rPr>
                <w:rFonts w:ascii="Times New Roman" w:hAnsi="Times New Roman" w:cs="Times New Roman" w:hint="eastAsia"/>
                <w:sz w:val="28"/>
                <w:szCs w:val="28"/>
              </w:rPr>
              <w:t>查看</w:t>
            </w:r>
            <w:r w:rsidRPr="005918E1">
              <w:rPr>
                <w:rFonts w:ascii="Times New Roman" w:hAnsi="Times New Roman" w:cs="Times New Roman"/>
                <w:sz w:val="28"/>
                <w:szCs w:val="28"/>
              </w:rPr>
              <w:t>了工程现场，查阅了技术资料，听取了建设单位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、水土保持监测</w:t>
            </w:r>
            <w:r w:rsidR="008A4685"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及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监理单位、</w:t>
            </w:r>
            <w:r w:rsidR="00CA6C9B"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验收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报告编制</w:t>
            </w:r>
            <w:r w:rsidRPr="005918E1">
              <w:rPr>
                <w:rFonts w:ascii="Times New Roman" w:hAnsi="Times New Roman" w:cs="Times New Roman"/>
                <w:sz w:val="28"/>
                <w:szCs w:val="28"/>
              </w:rPr>
              <w:t>单位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关于</w:t>
            </w:r>
            <w:r w:rsidRPr="005918E1">
              <w:rPr>
                <w:rFonts w:ascii="Times New Roman" w:hAnsi="Times New Roman" w:cs="Times New Roman"/>
                <w:sz w:val="28"/>
                <w:szCs w:val="28"/>
              </w:rPr>
              <w:t>水土保持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方案实施</w:t>
            </w:r>
            <w:r w:rsidRPr="005918E1">
              <w:rPr>
                <w:rFonts w:ascii="Times New Roman" w:hAnsi="Times New Roman" w:cs="Times New Roman"/>
                <w:sz w:val="28"/>
                <w:szCs w:val="28"/>
              </w:rPr>
              <w:t>情况</w:t>
            </w:r>
            <w:r w:rsidR="008A4685"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、水土保持监测及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监理工作情况</w:t>
            </w:r>
            <w:r w:rsidRPr="005918E1">
              <w:rPr>
                <w:rFonts w:ascii="Times New Roman" w:hAnsi="Times New Roman" w:cs="Times New Roman"/>
                <w:sz w:val="28"/>
                <w:szCs w:val="28"/>
              </w:rPr>
              <w:t>和</w:t>
            </w:r>
            <w:r w:rsidR="005215F4"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验收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报告</w:t>
            </w:r>
            <w:r w:rsidRPr="005918E1">
              <w:rPr>
                <w:rFonts w:ascii="Times New Roman" w:hAnsi="Times New Roman" w:cs="Times New Roman"/>
                <w:sz w:val="28"/>
                <w:szCs w:val="28"/>
              </w:rPr>
              <w:t>情况的汇报，经质询、讨论，形成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了</w:t>
            </w:r>
            <w:r w:rsidR="002D51B2">
              <w:rPr>
                <w:rFonts w:ascii="Times New Roman" w:hAnsi="Times New Roman" w:cs="Times New Roman" w:hint="eastAsia"/>
                <w:sz w:val="28"/>
                <w:szCs w:val="28"/>
              </w:rPr>
              <w:t>长城精品奥特莱斯项目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水土保持设施</w:t>
            </w:r>
            <w:r w:rsidR="000B523B"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竣工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验收意见。</w:t>
            </w:r>
          </w:p>
          <w:p w:rsidR="006E6EFF" w:rsidRPr="005918E1" w:rsidRDefault="006E6EFF" w:rsidP="009F1C7E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（一）项目概况</w:t>
            </w:r>
          </w:p>
          <w:p w:rsidR="005918E1" w:rsidRPr="00857DE0" w:rsidRDefault="006D2ADF" w:rsidP="005918E1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长城精品奥特莱斯项目位于北京市</w:t>
            </w:r>
            <w:proofErr w:type="gramStart"/>
            <w:r>
              <w:rPr>
                <w:rFonts w:ascii="Times New Roman" w:hAnsi="Times New Roman" w:cs="Times New Roman" w:hint="eastAsia"/>
                <w:sz w:val="28"/>
                <w:szCs w:val="28"/>
              </w:rPr>
              <w:t>昌平区</w:t>
            </w:r>
            <w:proofErr w:type="gramEnd"/>
            <w:r>
              <w:rPr>
                <w:rFonts w:ascii="Times New Roman" w:hAnsi="Times New Roman" w:cs="Times New Roman" w:hint="eastAsia"/>
                <w:sz w:val="28"/>
                <w:szCs w:val="28"/>
              </w:rPr>
              <w:t>南口镇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。北京长城精品奥特莱斯项目主要建设内容为综合商业中心。建筑密度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35%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，容积率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0.66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，绿化率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25%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，控制高度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18m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。项目总建筑面积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8.6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万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  <w:vertAlign w:val="superscript"/>
              </w:rPr>
              <w:t>2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，其中地上建筑面积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8.5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万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  <w:vertAlign w:val="superscript"/>
              </w:rPr>
              <w:t>2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，地下建筑面积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0.10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万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  <w:vertAlign w:val="superscript"/>
              </w:rPr>
              <w:t>2</w:t>
            </w:r>
            <w:r w:rsidR="002D51B2"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。</w:t>
            </w:r>
          </w:p>
          <w:p w:rsidR="00E123A8" w:rsidRPr="00644D3C" w:rsidRDefault="002D51B2" w:rsidP="00857DE0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工程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于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2013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年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8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月开工，于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2015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年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6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月完工。</w:t>
            </w:r>
            <w:r w:rsidR="00E123A8" w:rsidRPr="00857DE0">
              <w:rPr>
                <w:rFonts w:ascii="Times New Roman" w:hAnsi="Times New Roman" w:cs="Times New Roman"/>
                <w:sz w:val="28"/>
                <w:szCs w:val="28"/>
              </w:rPr>
              <w:t>工程项目建设总投资为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4.02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亿元，其中土建投资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1.49</w:t>
            </w:r>
            <w:r w:rsidRPr="002D51B2">
              <w:rPr>
                <w:rFonts w:ascii="Times New Roman" w:hAnsi="Times New Roman" w:cs="Times New Roman" w:hint="eastAsia"/>
                <w:sz w:val="28"/>
                <w:szCs w:val="28"/>
              </w:rPr>
              <w:t>亿元，建设所需资金全部由建设单位北京八</w:t>
            </w:r>
            <w:r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达岭精奥莱商业有限公司自筹</w:t>
            </w:r>
            <w:r w:rsidR="00E123A8" w:rsidRPr="00644D3C">
              <w:rPr>
                <w:rFonts w:ascii="Times New Roman" w:hAnsi="Times New Roman" w:cs="Times New Roman"/>
                <w:sz w:val="28"/>
                <w:szCs w:val="28"/>
              </w:rPr>
              <w:t>。</w:t>
            </w:r>
          </w:p>
          <w:p w:rsidR="006E6EFF" w:rsidRPr="00644D3C" w:rsidRDefault="006E6EFF" w:rsidP="009F1C7E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（二）水土保持方案批复情况</w:t>
            </w:r>
            <w:r w:rsidR="00734915">
              <w:rPr>
                <w:rFonts w:ascii="Times New Roman" w:hAnsi="Times New Roman" w:cs="Times New Roman" w:hint="eastAsia"/>
                <w:sz w:val="28"/>
                <w:szCs w:val="28"/>
              </w:rPr>
              <w:t>（含变更）</w:t>
            </w:r>
          </w:p>
          <w:p w:rsidR="006E6EFF" w:rsidRPr="005918E1" w:rsidRDefault="008B314F" w:rsidP="009F1C7E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20</w:t>
            </w:r>
            <w:r w:rsidR="00644D3C" w:rsidRPr="00644D3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年</w:t>
            </w:r>
            <w:r w:rsidR="00644D3C"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7</w:t>
            </w:r>
            <w:r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月</w:t>
            </w:r>
            <w:r w:rsidR="00644D3C"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  <w:r w:rsidR="00644D3C" w:rsidRPr="00644D3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日</w:t>
            </w:r>
            <w:r w:rsidR="00857DE0" w:rsidRPr="00644D3C">
              <w:rPr>
                <w:rFonts w:ascii="Times New Roman" w:hAnsi="Times New Roman" w:cs="Times New Roman"/>
                <w:sz w:val="28"/>
                <w:szCs w:val="28"/>
              </w:rPr>
              <w:t>，北京市</w:t>
            </w:r>
            <w:proofErr w:type="gramStart"/>
            <w:r w:rsidR="00644D3C"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昌平区水务</w:t>
            </w:r>
            <w:proofErr w:type="gramEnd"/>
            <w:r w:rsidR="00644D3C"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局</w:t>
            </w:r>
            <w:r w:rsidR="00857DE0" w:rsidRPr="00644D3C">
              <w:rPr>
                <w:rFonts w:ascii="Times New Roman" w:hAnsi="Times New Roman" w:cs="Times New Roman"/>
                <w:sz w:val="28"/>
                <w:szCs w:val="28"/>
              </w:rPr>
              <w:t>以《</w:t>
            </w:r>
            <w:r w:rsidR="00644D3C"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关于北京长城精品奥特莱斯项目水土保持方案报告书的批复</w:t>
            </w:r>
            <w:r w:rsidR="00857DE0" w:rsidRPr="00644D3C">
              <w:rPr>
                <w:rFonts w:ascii="Times New Roman" w:hAnsi="Times New Roman" w:cs="Times New Roman"/>
                <w:sz w:val="28"/>
                <w:szCs w:val="28"/>
              </w:rPr>
              <w:t>》（</w:t>
            </w:r>
            <w:r w:rsidR="006D2ADF" w:rsidRPr="006D2ADF">
              <w:rPr>
                <w:rFonts w:ascii="Times New Roman" w:hAnsi="Times New Roman" w:cs="Times New Roman" w:hint="eastAsia"/>
                <w:sz w:val="28"/>
                <w:szCs w:val="28"/>
              </w:rPr>
              <w:t>昌</w:t>
            </w:r>
            <w:proofErr w:type="gramStart"/>
            <w:r w:rsidR="006D2ADF" w:rsidRPr="006D2ADF">
              <w:rPr>
                <w:rFonts w:ascii="Times New Roman" w:hAnsi="Times New Roman" w:cs="Times New Roman" w:hint="eastAsia"/>
                <w:sz w:val="28"/>
                <w:szCs w:val="28"/>
              </w:rPr>
              <w:t>水行许字</w:t>
            </w:r>
            <w:proofErr w:type="gramEnd"/>
            <w:r w:rsidR="006D2ADF" w:rsidRPr="006D2ADF">
              <w:rPr>
                <w:rFonts w:ascii="Times New Roman" w:hAnsi="Times New Roman" w:cs="Times New Roman" w:hint="eastAsia"/>
                <w:sz w:val="28"/>
                <w:szCs w:val="28"/>
              </w:rPr>
              <w:t>[2014]</w:t>
            </w:r>
            <w:r w:rsidR="006D2ADF" w:rsidRPr="006D2ADF">
              <w:rPr>
                <w:rFonts w:ascii="Times New Roman" w:hAnsi="Times New Roman" w:cs="Times New Roman" w:hint="eastAsia"/>
                <w:sz w:val="28"/>
                <w:szCs w:val="28"/>
              </w:rPr>
              <w:t>第</w:t>
            </w:r>
            <w:r w:rsidR="006D2ADF" w:rsidRPr="006D2ADF">
              <w:rPr>
                <w:rFonts w:ascii="Times New Roman" w:hAnsi="Times New Roman" w:cs="Times New Roman" w:hint="eastAsia"/>
                <w:sz w:val="28"/>
                <w:szCs w:val="28"/>
              </w:rPr>
              <w:t>78</w:t>
            </w:r>
            <w:r w:rsidR="006D2ADF" w:rsidRPr="006D2ADF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号</w:t>
            </w:r>
            <w:r w:rsidR="00857DE0" w:rsidRPr="00644D3C">
              <w:rPr>
                <w:rFonts w:ascii="Times New Roman" w:hAnsi="Times New Roman" w:cs="Times New Roman"/>
                <w:sz w:val="28"/>
                <w:szCs w:val="28"/>
              </w:rPr>
              <w:t>）批复了</w:t>
            </w:r>
            <w:r w:rsidR="000B523B"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《</w:t>
            </w:r>
            <w:r w:rsidR="002D51B2"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长城精品奥特莱斯项目</w:t>
            </w:r>
            <w:r w:rsidR="000B523B" w:rsidRPr="00644D3C">
              <w:rPr>
                <w:rFonts w:ascii="Times New Roman" w:hAnsi="Times New Roman" w:cs="Times New Roman"/>
                <w:sz w:val="28"/>
                <w:szCs w:val="28"/>
              </w:rPr>
              <w:t>水土保持方案</w:t>
            </w:r>
            <w:r w:rsidR="000B523B" w:rsidRPr="00644D3C">
              <w:rPr>
                <w:rFonts w:ascii="Times New Roman" w:hAnsi="Times New Roman" w:cs="Times New Roman" w:hint="eastAsia"/>
                <w:sz w:val="28"/>
                <w:szCs w:val="28"/>
              </w:rPr>
              <w:t>》</w:t>
            </w:r>
            <w:r w:rsidR="00857DE0" w:rsidRPr="00644D3C">
              <w:rPr>
                <w:rFonts w:ascii="Times New Roman" w:hAnsi="Times New Roman" w:cs="Times New Roman"/>
                <w:sz w:val="28"/>
                <w:szCs w:val="28"/>
              </w:rPr>
              <w:t>。批复的水土流失防治责任范围</w:t>
            </w:r>
            <w:r w:rsidR="00644D3C" w:rsidRPr="00644D3C">
              <w:rPr>
                <w:rFonts w:ascii="Times New Roman" w:hAnsi="Times New Roman" w:cs="Times New Roman"/>
                <w:sz w:val="28"/>
                <w:szCs w:val="28"/>
              </w:rPr>
              <w:t>16.86</w:t>
            </w:r>
            <w:r w:rsidR="00216832" w:rsidRPr="00644D3C">
              <w:rPr>
                <w:rFonts w:ascii="Times New Roman" w:hAnsi="Times New Roman" w:cs="Times New Roman"/>
                <w:sz w:val="28"/>
                <w:szCs w:val="28"/>
              </w:rPr>
              <w:t>hm</w:t>
            </w:r>
            <w:r w:rsidR="00216832" w:rsidRPr="00644D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="006E6EFF" w:rsidRPr="00644D3C">
              <w:rPr>
                <w:rFonts w:ascii="Times New Roman" w:hAnsi="Times New Roman" w:cs="Times New Roman"/>
                <w:sz w:val="28"/>
                <w:szCs w:val="28"/>
              </w:rPr>
              <w:t>。</w:t>
            </w:r>
          </w:p>
          <w:p w:rsidR="006E6EFF" w:rsidRPr="005918E1" w:rsidRDefault="008A4685" w:rsidP="009F1C7E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（三）</w:t>
            </w:r>
            <w:r w:rsidR="006E6EFF"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水土保持监测情况</w:t>
            </w:r>
          </w:p>
          <w:p w:rsidR="006E6EFF" w:rsidRPr="005B2E40" w:rsidRDefault="00EE3734" w:rsidP="009F1C7E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5B2E40">
              <w:rPr>
                <w:rFonts w:ascii="Times New Roman" w:hAnsi="Times New Roman" w:cs="Times New Roman"/>
                <w:sz w:val="28"/>
                <w:szCs w:val="28"/>
              </w:rPr>
              <w:t>建设单位委托</w:t>
            </w:r>
            <w:r w:rsidR="000B523B">
              <w:rPr>
                <w:rFonts w:ascii="Times New Roman" w:hAnsi="Times New Roman" w:cs="Times New Roman" w:hint="eastAsia"/>
                <w:sz w:val="28"/>
                <w:szCs w:val="28"/>
              </w:rPr>
              <w:t>北京林淼生态环境技术有限公司</w:t>
            </w:r>
            <w:r w:rsidRPr="005B2E40">
              <w:rPr>
                <w:rFonts w:ascii="Times New Roman" w:hAnsi="Times New Roman" w:cs="Times New Roman"/>
                <w:sz w:val="28"/>
                <w:szCs w:val="28"/>
              </w:rPr>
              <w:t>开展了</w:t>
            </w:r>
            <w:r w:rsidR="000B523B">
              <w:rPr>
                <w:rFonts w:ascii="Times New Roman" w:hAnsi="Times New Roman" w:cs="Times New Roman" w:hint="eastAsia"/>
                <w:sz w:val="28"/>
                <w:szCs w:val="28"/>
              </w:rPr>
              <w:t>本项目</w:t>
            </w:r>
            <w:r w:rsidRPr="005B2E40">
              <w:rPr>
                <w:rFonts w:ascii="Times New Roman" w:hAnsi="Times New Roman" w:cs="Times New Roman"/>
                <w:sz w:val="28"/>
                <w:szCs w:val="28"/>
              </w:rPr>
              <w:t>水土保持监测</w:t>
            </w:r>
            <w:r w:rsidR="00573253">
              <w:rPr>
                <w:rFonts w:ascii="Times New Roman" w:hAnsi="Times New Roman" w:cs="Times New Roman" w:hint="eastAsia"/>
                <w:sz w:val="28"/>
                <w:szCs w:val="28"/>
              </w:rPr>
              <w:t>。根据《水土保持监测总结报告》</w:t>
            </w:r>
            <w:r w:rsidR="00573253" w:rsidRPr="00573253">
              <w:rPr>
                <w:rFonts w:ascii="Times New Roman" w:hAnsi="Times New Roman" w:cs="Times New Roman"/>
                <w:sz w:val="28"/>
                <w:szCs w:val="28"/>
              </w:rPr>
              <w:t>，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扰动土地整治率达到</w:t>
            </w:r>
            <w:r w:rsidR="00CF1E92" w:rsidRPr="00CF1E92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；水土流失</w:t>
            </w:r>
            <w:r w:rsidR="006D2ADF">
              <w:rPr>
                <w:rFonts w:ascii="Times New Roman" w:hAnsi="Times New Roman" w:cs="Times New Roman" w:hint="eastAsia"/>
                <w:sz w:val="28"/>
                <w:szCs w:val="28"/>
              </w:rPr>
              <w:t>总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治理度达到</w:t>
            </w:r>
            <w:r w:rsidR="00CF1E92" w:rsidRPr="00CF1E92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；土壤流失控制比为</w:t>
            </w:r>
            <w:r w:rsidR="00CF1E92" w:rsidRPr="00CF1E92">
              <w:rPr>
                <w:rFonts w:ascii="Times New Roman" w:hAnsi="Times New Roman" w:cs="Times New Roman"/>
                <w:sz w:val="28"/>
                <w:szCs w:val="28"/>
              </w:rPr>
              <w:t>1.18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；拦渣率达到了</w:t>
            </w:r>
            <w:r w:rsidR="00CF1E92" w:rsidRPr="00CF1E92"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="000B523B" w:rsidRPr="000B523B">
              <w:rPr>
                <w:rFonts w:ascii="Times New Roman" w:hAnsi="Times New Roman" w:cs="Times New Roman"/>
                <w:sz w:val="28"/>
                <w:szCs w:val="28"/>
              </w:rPr>
              <w:t>；本项目各项指标达到了开发建设项目水土流失防治目标的要求。</w:t>
            </w:r>
          </w:p>
          <w:p w:rsidR="00C84EE4" w:rsidRPr="000B523B" w:rsidRDefault="00C84EE4" w:rsidP="009F1C7E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0B523B">
              <w:rPr>
                <w:rFonts w:ascii="Times New Roman" w:hAnsi="Times New Roman" w:cs="Times New Roman" w:hint="eastAsia"/>
                <w:sz w:val="28"/>
                <w:szCs w:val="28"/>
              </w:rPr>
              <w:t>（</w:t>
            </w:r>
            <w:r w:rsidR="006D2ADF">
              <w:rPr>
                <w:rFonts w:ascii="Times New Roman" w:hAnsi="Times New Roman" w:cs="Times New Roman" w:hint="eastAsia"/>
                <w:sz w:val="28"/>
                <w:szCs w:val="28"/>
              </w:rPr>
              <w:t>四</w:t>
            </w:r>
            <w:r w:rsidRPr="000B523B">
              <w:rPr>
                <w:rFonts w:ascii="Times New Roman" w:hAnsi="Times New Roman" w:cs="Times New Roman" w:hint="eastAsia"/>
                <w:sz w:val="28"/>
                <w:szCs w:val="28"/>
              </w:rPr>
              <w:t>）验收报告编制情况和主要结论</w:t>
            </w:r>
          </w:p>
          <w:p w:rsidR="00C84EE4" w:rsidRPr="00062F26" w:rsidRDefault="005B2E40" w:rsidP="00062F26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062F26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0B523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062F26"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 w:rsidR="00CF1E9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062F26">
              <w:rPr>
                <w:rFonts w:ascii="Times New Roman" w:hAnsi="Times New Roman" w:cs="Times New Roman"/>
                <w:sz w:val="28"/>
                <w:szCs w:val="28"/>
              </w:rPr>
              <w:t>月，建设单位委托北京林淼生态环境技术有限公司开展了</w:t>
            </w:r>
            <w:r w:rsidR="00CF1E92" w:rsidRPr="00CF1E92">
              <w:rPr>
                <w:rFonts w:ascii="Times New Roman" w:hAnsi="Times New Roman" w:cs="Times New Roman" w:hint="eastAsia"/>
                <w:sz w:val="28"/>
                <w:szCs w:val="28"/>
              </w:rPr>
              <w:t>水土保持设施验收报告</w:t>
            </w:r>
            <w:r w:rsidRPr="00062F26">
              <w:rPr>
                <w:rFonts w:ascii="Times New Roman" w:hAnsi="Times New Roman" w:cs="Times New Roman"/>
                <w:sz w:val="28"/>
                <w:szCs w:val="28"/>
              </w:rPr>
              <w:t>编制工作；提交了《</w:t>
            </w:r>
            <w:r w:rsidR="002D51B2">
              <w:rPr>
                <w:rFonts w:ascii="Times New Roman" w:hAnsi="Times New Roman" w:cs="Times New Roman" w:hint="eastAsia"/>
                <w:sz w:val="28"/>
                <w:szCs w:val="28"/>
              </w:rPr>
              <w:t>长城精品奥特莱斯项目</w:t>
            </w:r>
            <w:r w:rsidRPr="00062F26">
              <w:rPr>
                <w:rFonts w:ascii="Times New Roman" w:hAnsi="Times New Roman" w:cs="Times New Roman"/>
                <w:sz w:val="28"/>
                <w:szCs w:val="28"/>
              </w:rPr>
              <w:t>水土保持设施验收报告》。</w:t>
            </w:r>
            <w:r w:rsidR="00734915" w:rsidRPr="00734915">
              <w:rPr>
                <w:rFonts w:ascii="Times New Roman" w:hAnsi="Times New Roman" w:cs="Times New Roman" w:hint="eastAsia"/>
                <w:sz w:val="28"/>
                <w:szCs w:val="28"/>
              </w:rPr>
              <w:t>水土保持设施验收报告编制组认为，通过各项工水土保持措施有效落实，本项目完工后项目区生态环境较工程施工期明显改善，工程建设可能造成的水土流失得到有效控制。该工程各项指标在全部水土保持措施实施后合格，可以进行水土保持设施验收。</w:t>
            </w:r>
          </w:p>
          <w:p w:rsidR="00C84EE4" w:rsidRPr="005918E1" w:rsidRDefault="00C84EE4" w:rsidP="009F1C7E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（</w:t>
            </w:r>
            <w:r w:rsidR="006D2ADF">
              <w:rPr>
                <w:rFonts w:ascii="Times New Roman" w:hAnsi="Times New Roman" w:cs="Times New Roman" w:hint="eastAsia"/>
                <w:sz w:val="28"/>
                <w:szCs w:val="28"/>
              </w:rPr>
              <w:t>五</w:t>
            </w:r>
            <w:r w:rsidRPr="005918E1">
              <w:rPr>
                <w:rFonts w:ascii="Times New Roman" w:hAnsi="Times New Roman" w:cs="Times New Roman" w:hint="eastAsia"/>
                <w:sz w:val="28"/>
                <w:szCs w:val="28"/>
              </w:rPr>
              <w:t>）验收结论</w:t>
            </w:r>
          </w:p>
          <w:p w:rsidR="00C84EE4" w:rsidRPr="00900960" w:rsidRDefault="00062F26" w:rsidP="00573253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062F26">
              <w:rPr>
                <w:rFonts w:ascii="Times New Roman" w:hAnsi="Times New Roman" w:cs="Times New Roman" w:hint="eastAsia"/>
                <w:sz w:val="28"/>
                <w:szCs w:val="28"/>
              </w:rPr>
              <w:t>验收组认为：</w:t>
            </w:r>
            <w:r w:rsidR="00573253">
              <w:rPr>
                <w:rFonts w:ascii="Times New Roman" w:hAnsi="Times New Roman" w:cs="Times New Roman" w:hint="eastAsia"/>
                <w:sz w:val="28"/>
                <w:szCs w:val="28"/>
              </w:rPr>
              <w:t>建设单位较好履行了水土保持法定义务，委托并组织实施了水土保持监测及监理，按照批复的水土保持方案开展了水土保持设施建设。完成了水土流失治理任务，水土流失防治指标</w:t>
            </w:r>
            <w:r w:rsidR="0081397F">
              <w:rPr>
                <w:rFonts w:ascii="Times New Roman" w:hAnsi="Times New Roman" w:cs="Times New Roman" w:hint="eastAsia"/>
                <w:sz w:val="28"/>
                <w:szCs w:val="28"/>
              </w:rPr>
              <w:t>达到水土保持方案确定的目标值，符合水土保持设施验收的条件，达到水土保持</w:t>
            </w:r>
            <w:r w:rsidR="00573253">
              <w:rPr>
                <w:rFonts w:ascii="Times New Roman" w:hAnsi="Times New Roman" w:cs="Times New Roman" w:hint="eastAsia"/>
                <w:sz w:val="28"/>
                <w:szCs w:val="28"/>
              </w:rPr>
              <w:t>设施验收相关要求，同意</w:t>
            </w:r>
            <w:r w:rsidR="00573253" w:rsidRPr="00900960">
              <w:rPr>
                <w:rFonts w:ascii="Times New Roman" w:hAnsi="Times New Roman" w:cs="Times New Roman" w:hint="eastAsia"/>
                <w:sz w:val="28"/>
                <w:szCs w:val="28"/>
              </w:rPr>
              <w:t>通过验收</w:t>
            </w:r>
            <w:r w:rsidR="00C84EE4" w:rsidRPr="00900960">
              <w:rPr>
                <w:rFonts w:ascii="Times New Roman" w:hAnsi="Times New Roman" w:cs="Times New Roman" w:hint="eastAsia"/>
                <w:sz w:val="28"/>
                <w:szCs w:val="28"/>
              </w:rPr>
              <w:t>。</w:t>
            </w:r>
          </w:p>
          <w:p w:rsidR="00900960" w:rsidRPr="00900960" w:rsidRDefault="00900960" w:rsidP="00900960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60">
              <w:rPr>
                <w:rFonts w:ascii="Times New Roman" w:hAnsi="Times New Roman" w:cs="Times New Roman" w:hint="eastAsia"/>
                <w:sz w:val="28"/>
                <w:szCs w:val="28"/>
              </w:rPr>
              <w:lastRenderedPageBreak/>
              <w:t>（六）后续管护要求</w:t>
            </w:r>
          </w:p>
          <w:p w:rsidR="00900960" w:rsidRPr="00900960" w:rsidRDefault="00900960" w:rsidP="00900960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900960">
              <w:rPr>
                <w:rFonts w:ascii="Times New Roman" w:hAnsi="Times New Roman" w:cs="Times New Roman" w:hint="eastAsia"/>
                <w:sz w:val="28"/>
                <w:szCs w:val="28"/>
              </w:rPr>
              <w:t>该工程运行管理单位为北京八达岭精奥莱商业有限公司，运行管理单位应落实对已建成的各项水土保持设施的管养责任，确保各项水土保持设施长效发挥水土保持功能。</w:t>
            </w:r>
          </w:p>
          <w:p w:rsidR="00900960" w:rsidRPr="00900960" w:rsidRDefault="00900960" w:rsidP="00573253">
            <w:pPr>
              <w:ind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64FCD" w:rsidRDefault="00F64FCD" w:rsidP="00D700EF">
      <w:pPr>
        <w:jc w:val="left"/>
        <w:rPr>
          <w:rFonts w:ascii="黑体" w:eastAsia="黑体" w:hAnsi="黑体" w:hint="eastAsia"/>
          <w:b/>
          <w:sz w:val="32"/>
        </w:rPr>
        <w:sectPr w:rsidR="00F64FCD" w:rsidSect="00CF1E92">
          <w:pgSz w:w="11906" w:h="16838"/>
          <w:pgMar w:top="1361" w:right="1644" w:bottom="1361" w:left="1644" w:header="851" w:footer="992" w:gutter="0"/>
          <w:cols w:space="425"/>
          <w:docGrid w:type="lines" w:linePitch="312"/>
        </w:sectPr>
      </w:pPr>
      <w:bookmarkStart w:id="1" w:name="_GoBack"/>
      <w:bookmarkEnd w:id="1"/>
    </w:p>
    <w:p w:rsidR="00C84EE4" w:rsidRPr="00D700EF" w:rsidRDefault="00D700EF" w:rsidP="00A70BA4">
      <w:r>
        <w:rPr>
          <w:noProof/>
        </w:rPr>
        <w:lastRenderedPageBreak/>
        <w:drawing>
          <wp:inline distT="0" distB="0" distL="0" distR="0" wp14:anchorId="2E2BCD66" wp14:editId="730A905A">
            <wp:extent cx="6007395" cy="64608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9559" cy="649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E4" w:rsidRPr="00D700EF" w:rsidSect="005D4076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AEE" w:rsidRDefault="00EC0AEE" w:rsidP="00DE5A8F">
      <w:r>
        <w:separator/>
      </w:r>
    </w:p>
  </w:endnote>
  <w:endnote w:type="continuationSeparator" w:id="0">
    <w:p w:rsidR="00EC0AEE" w:rsidRDefault="00EC0AEE" w:rsidP="00DE5A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AEE" w:rsidRDefault="00EC0AEE" w:rsidP="00DE5A8F">
      <w:r>
        <w:separator/>
      </w:r>
    </w:p>
  </w:footnote>
  <w:footnote w:type="continuationSeparator" w:id="0">
    <w:p w:rsidR="00EC0AEE" w:rsidRDefault="00EC0AEE" w:rsidP="00DE5A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3"/>
    <w:rsid w:val="00003769"/>
    <w:rsid w:val="00007798"/>
    <w:rsid w:val="00062F26"/>
    <w:rsid w:val="000662A0"/>
    <w:rsid w:val="0008793E"/>
    <w:rsid w:val="00092623"/>
    <w:rsid w:val="000A558E"/>
    <w:rsid w:val="000B523B"/>
    <w:rsid w:val="000D5DF0"/>
    <w:rsid w:val="000E4F47"/>
    <w:rsid w:val="00101FC5"/>
    <w:rsid w:val="00112540"/>
    <w:rsid w:val="00184658"/>
    <w:rsid w:val="00216832"/>
    <w:rsid w:val="00226121"/>
    <w:rsid w:val="00227D0A"/>
    <w:rsid w:val="00242DB0"/>
    <w:rsid w:val="002601AF"/>
    <w:rsid w:val="00292513"/>
    <w:rsid w:val="002A3069"/>
    <w:rsid w:val="002C4618"/>
    <w:rsid w:val="002D51B2"/>
    <w:rsid w:val="002D64FB"/>
    <w:rsid w:val="00356C39"/>
    <w:rsid w:val="003A56DB"/>
    <w:rsid w:val="003E1055"/>
    <w:rsid w:val="003F58F3"/>
    <w:rsid w:val="004103AD"/>
    <w:rsid w:val="00424EA3"/>
    <w:rsid w:val="00456D31"/>
    <w:rsid w:val="004D35B9"/>
    <w:rsid w:val="004E7CD0"/>
    <w:rsid w:val="00510C40"/>
    <w:rsid w:val="005215F4"/>
    <w:rsid w:val="0052773E"/>
    <w:rsid w:val="00572F32"/>
    <w:rsid w:val="00573253"/>
    <w:rsid w:val="005918E1"/>
    <w:rsid w:val="005A7580"/>
    <w:rsid w:val="005B2E40"/>
    <w:rsid w:val="005C277E"/>
    <w:rsid w:val="005D4076"/>
    <w:rsid w:val="00644D3C"/>
    <w:rsid w:val="00647A08"/>
    <w:rsid w:val="006604BE"/>
    <w:rsid w:val="00667F4D"/>
    <w:rsid w:val="006D2ADF"/>
    <w:rsid w:val="006E0D5F"/>
    <w:rsid w:val="006E6EFF"/>
    <w:rsid w:val="00734915"/>
    <w:rsid w:val="00760872"/>
    <w:rsid w:val="00762E1F"/>
    <w:rsid w:val="00795D01"/>
    <w:rsid w:val="007E77BD"/>
    <w:rsid w:val="0081397F"/>
    <w:rsid w:val="00815827"/>
    <w:rsid w:val="00825D92"/>
    <w:rsid w:val="00826A1F"/>
    <w:rsid w:val="0083666C"/>
    <w:rsid w:val="00844A23"/>
    <w:rsid w:val="00857DE0"/>
    <w:rsid w:val="008612EE"/>
    <w:rsid w:val="008664FD"/>
    <w:rsid w:val="008742E1"/>
    <w:rsid w:val="0089039C"/>
    <w:rsid w:val="0089209A"/>
    <w:rsid w:val="008A4685"/>
    <w:rsid w:val="008B093A"/>
    <w:rsid w:val="008B314F"/>
    <w:rsid w:val="008B4FFD"/>
    <w:rsid w:val="00900960"/>
    <w:rsid w:val="009075BA"/>
    <w:rsid w:val="009A7C61"/>
    <w:rsid w:val="009C6AE3"/>
    <w:rsid w:val="009C7518"/>
    <w:rsid w:val="009D36AB"/>
    <w:rsid w:val="009F1C7E"/>
    <w:rsid w:val="00A02684"/>
    <w:rsid w:val="00A419A6"/>
    <w:rsid w:val="00A62D64"/>
    <w:rsid w:val="00A70BA4"/>
    <w:rsid w:val="00AA05C5"/>
    <w:rsid w:val="00B05814"/>
    <w:rsid w:val="00B06665"/>
    <w:rsid w:val="00B12559"/>
    <w:rsid w:val="00B149D8"/>
    <w:rsid w:val="00B15315"/>
    <w:rsid w:val="00B1662C"/>
    <w:rsid w:val="00B16A11"/>
    <w:rsid w:val="00B37342"/>
    <w:rsid w:val="00B4064C"/>
    <w:rsid w:val="00BC4441"/>
    <w:rsid w:val="00C12EA8"/>
    <w:rsid w:val="00C32123"/>
    <w:rsid w:val="00C84EE4"/>
    <w:rsid w:val="00C94AEE"/>
    <w:rsid w:val="00CA6C9B"/>
    <w:rsid w:val="00CC03A3"/>
    <w:rsid w:val="00CF1E92"/>
    <w:rsid w:val="00D209AB"/>
    <w:rsid w:val="00D535E2"/>
    <w:rsid w:val="00D700EF"/>
    <w:rsid w:val="00DD5AE5"/>
    <w:rsid w:val="00DE5A8F"/>
    <w:rsid w:val="00E02741"/>
    <w:rsid w:val="00E123A8"/>
    <w:rsid w:val="00E15C1F"/>
    <w:rsid w:val="00E377D6"/>
    <w:rsid w:val="00E817B4"/>
    <w:rsid w:val="00E96D9F"/>
    <w:rsid w:val="00EB405C"/>
    <w:rsid w:val="00EC0AEE"/>
    <w:rsid w:val="00ED335A"/>
    <w:rsid w:val="00EE12B3"/>
    <w:rsid w:val="00EE3734"/>
    <w:rsid w:val="00EE43BE"/>
    <w:rsid w:val="00F64FCD"/>
    <w:rsid w:val="00FB5867"/>
    <w:rsid w:val="00FB7557"/>
    <w:rsid w:val="00FC7CA4"/>
    <w:rsid w:val="00FD1E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F342C"/>
  <w15:docId w15:val="{0A6154C2-84CC-4E3C-B2FF-0E633EFE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D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6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5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A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A8F"/>
    <w:rPr>
      <w:sz w:val="18"/>
      <w:szCs w:val="18"/>
    </w:rPr>
  </w:style>
  <w:style w:type="paragraph" w:styleId="a8">
    <w:name w:val="List Paragraph"/>
    <w:basedOn w:val="a"/>
    <w:uiPriority w:val="34"/>
    <w:qFormat/>
    <w:rsid w:val="00E123A8"/>
    <w:pPr>
      <w:ind w:firstLineChars="200" w:firstLine="420"/>
    </w:pPr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2D51B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51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5CA5D-A263-4F97-9467-63C8240E4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1545</Characters>
  <Application>Microsoft Office Word</Application>
  <DocSecurity>0</DocSecurity>
  <Lines>12</Lines>
  <Paragraphs>3</Paragraphs>
  <ScaleCrop>false</ScaleCrop>
  <Company>China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zizhu_3@163.com</cp:lastModifiedBy>
  <cp:revision>4</cp:revision>
  <cp:lastPrinted>2018-06-25T03:09:00Z</cp:lastPrinted>
  <dcterms:created xsi:type="dcterms:W3CDTF">2018-07-09T03:42:00Z</dcterms:created>
  <dcterms:modified xsi:type="dcterms:W3CDTF">2018-07-09T04:10:00Z</dcterms:modified>
</cp:coreProperties>
</file>