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C2361A"/>
          <w:sz w:val="40"/>
        </w:rPr>
        <w:t>CINDRASEC</w:t>
      </w:r>
    </w:p>
    <w:p>
      <w:pPr>
        <w:spacing w:after="40"/>
        <w:jc w:val="center"/>
      </w:pPr>
      <w:r>
        <w:rPr>
          <w:b/>
          <w:i w:val="0"/>
          <w:color w:val="1F252D"/>
          <w:sz w:val="24"/>
        </w:rPr>
        <w:t>Authorization Letter &amp; Rules of Engagement</w:t>
      </w:r>
    </w:p>
    <w:p>
      <w:pPr>
        <w:spacing w:after="40"/>
        <w:jc w:val="center"/>
      </w:pPr>
      <w:r>
        <w:rPr>
          <w:b w:val="0"/>
          <w:i/>
          <w:color w:val="555B63"/>
          <w:sz w:val="20"/>
        </w:rPr>
        <w:t>No signature, no scan.  ·  স্বাক্ষর ছাড়া কোনো স্ক্যান নয়।</w:t>
      </w:r>
    </w:p>
    <w:p>
      <w:pPr>
        <w:spacing w:after="40"/>
        <w:jc w:val="center"/>
      </w:pPr>
      <w:r>
        <w:rPr>
          <w:b w:val="0"/>
          <w:i w:val="0"/>
          <w:color w:val="555B63"/>
          <w:sz w:val="17"/>
        </w:rPr>
        <w:t>এই একটি দলিলই নিচের কাজের একমাত্র বৈধ অনুমোদন — Cyber Security Ordinance 2025-সহ প্রযোজ্য আইনের অধীনে সকল অ্যাক্সেসকে "authorized access" হিসেবে প্রতিষ্ঠা করে।</w:t>
      </w:r>
    </w:p>
    <w:p>
      <w:pPr>
        <w:spacing w:before="180" w:after="60"/>
      </w:pPr>
      <w:r>
        <w:rPr>
          <w:b/>
          <w:color w:val="C2361A"/>
          <w:sz w:val="24"/>
        </w:rPr>
        <w:t>1 · Engagement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Reference no.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CS-AUTH-[YYYY-MM-NNN]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Client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__________________________________________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Authorized signatory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________________  /  ________________  (Client-কে bind করার ক্ষমতাসম্পন্ন)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Client contact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Email: ________________   Phone: ________________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Send findings to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________________  /  ________________  (findings শুধু এই ব্যক্তির কাছে যাবে)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Package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☐ Free Pilot  ☐ Snapshot  ☐ Watch  ☐ AI/LLM Assessment  ☐ Other: 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Window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__________  →  __________  (date, time, timezone)   ☐ Ongoing (Watch)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Testing source IP(s)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________________________  (Client allowlisting-এর জন্য)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Emergency stop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  <w:t>Cindrasec: [phone/email]   ·   Client: ________________</w:t>
            </w:r>
          </w:p>
        </w:tc>
      </w:tr>
    </w:tbl>
    <w:p>
      <w:pPr>
        <w:spacing w:before="180" w:after="60"/>
      </w:pPr>
      <w:r>
        <w:rPr>
          <w:b/>
          <w:color w:val="C2361A"/>
          <w:sz w:val="24"/>
        </w:rPr>
        <w:t>2 · Authorization</w:t>
      </w:r>
    </w:p>
    <w:p>
      <w:pPr>
        <w:spacing w:after="60"/>
      </w:pPr>
      <w:r>
        <w:rPr>
          <w:b w:val="0"/>
          <w:i w:val="0"/>
          <w:sz w:val="20"/>
        </w:rPr>
        <w:t>Client, উপরের signatory-এর মাধ্যমে, Md. Azmol Haque Rony — independent security researcher, "Cindrasec" নামে কর্মরত — কে §3-এর scope ও সময়সীমার মধ্যে security assessment করার লিখিত অনুমতি দিচ্ছে এবং নিশ্চিত করছে যে:</w:t>
      </w:r>
    </w:p>
    <w:p>
      <w:pPr>
        <w:pStyle w:val="ListBullet"/>
        <w:spacing w:after="20"/>
      </w:pPr>
      <w:r>
        <w:rPr>
          <w:sz w:val="19"/>
        </w:rPr>
        <w:t>signatory-র Client-কে আইনগতভাবে bind করার ক্ষমতা আছে;</w:t>
      </w:r>
    </w:p>
    <w:p>
      <w:pPr>
        <w:pStyle w:val="ListBullet"/>
        <w:spacing w:after="20"/>
      </w:pPr>
      <w:r>
        <w:rPr>
          <w:sz w:val="19"/>
        </w:rPr>
        <w:t>তালিকাভুক্ত প্রতিটি asset-এর Client আইনসঙ্গত মালিক/নিয়ন্ত্রক — তৃতীয় পক্ষের অনুমতি লাগে না, বা লাগলে Client তা সংগ্রহ করেছে;</w:t>
      </w:r>
    </w:p>
    <w:p>
      <w:pPr>
        <w:pStyle w:val="ListBullet"/>
        <w:spacing w:after="20"/>
      </w:pPr>
      <w:r>
        <w:rPr>
          <w:sz w:val="19"/>
        </w:rPr>
        <w:t>Client-এর নিজস্ব backup ও change-control আছে।</w:t>
      </w:r>
    </w:p>
    <w:p>
      <w:pPr>
        <w:spacing w:after="60"/>
      </w:pPr>
      <w:r>
        <w:rPr>
          <w:b w:val="0"/>
          <w:i/>
          <w:color w:val="555B63"/>
          <w:sz w:val="20"/>
        </w:rPr>
        <w:t>এই অনুমতি লিখিত নোটিশে যেকোনো সময় তাৎক্ষণিকভাবে প্রত্যাহারযোগ্য; প্রত্যাহারের সঙ্গে সঙ্গে সব টেস্টিং বন্ধ হবে।  (Revocable in writing at any time; all testing stops immediately on revocation.)</w:t>
      </w:r>
    </w:p>
    <w:p>
      <w:pPr>
        <w:spacing w:before="180" w:after="60"/>
      </w:pPr>
      <w:r>
        <w:rPr>
          <w:b/>
          <w:color w:val="C2361A"/>
          <w:sz w:val="24"/>
        </w:rPr>
        <w:t>3 ·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576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</w:tcPr>
          <w:p>
            <w:r/>
            <w:r>
              <w:rPr>
                <w:b/>
                <w:sz w:val="19"/>
              </w:rPr>
              <w:t>In-scope asset (domain / IP / AI system)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Type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7056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  <w:r>
        <w:rPr>
          <w:b w:val="0"/>
          <w:i w:val="0"/>
          <w:sz w:val="20"/>
        </w:rPr>
        <w:t>Out of scope (default): তালিকার বাইরের যেকোনো asset · তৃতীয়-পক্ষের infrastructure (shared hosting, SaaS, payment processor, CDN) · physical / social-engineering / phishing · DoS বা destructive action। Discovery-তে পাওয়া নতুন asset রিপোর্ট হবে, কিন্তু লিখিতভাবে (উভয় contact-এর email) যোগ না করা পর্যন্ত টেস্ট হবে না। মৌখিক পরিবর্তন নয়।</w:t>
      </w:r>
    </w:p>
    <w:p>
      <w:pPr>
        <w:spacing w:before="180" w:after="60"/>
      </w:pPr>
      <w:r>
        <w:rPr>
          <w:b/>
          <w:color w:val="C2361A"/>
          <w:sz w:val="24"/>
        </w:rPr>
        <w:t>4 · Rules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✅ Authorized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🚫 Prohibited (আলাদা লিখিত অনুমতি ছাড়া)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Passive recon ও discovery — DNS, certificate transparency, OSINT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Active exploitation — RCE, privilege escalation, lateral movement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Exposed secret / credential / misconfiguration detection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Data exfiltration (minimum proof-এর বাইরে); Client ডেটা পরিবর্তন/মুছে ফেলা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Minimal verification — পাওয়া credential live কিনা নিশ্চিত করতে issuing provider-এ একটিমাত্র minimum-necessary metadata call, এর বেশি নয়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Denial-of-service, load/stress testing, rate-limit ভাঙা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Throttled scanning (≈ ২ request/second/host)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প্রকৃত user account takeover বা real-user data access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AI/LLM package: তালিকাভুক্ত AI system-এ prompt-injection, jailbreak, data-leak, agent-abuse — শুধু test account দিয়ে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Physical access, social engineering, phishing; অন্য tenant বা model provider টেস্টিং</w:t>
            </w:r>
          </w:p>
        </w:tc>
      </w:tr>
    </w:tbl>
    <w:p>
      <w:pPr>
        <w:spacing w:before="180" w:after="60"/>
      </w:pPr>
      <w:r>
        <w:rPr>
          <w:b/>
          <w:color w:val="C2361A"/>
          <w:sz w:val="24"/>
        </w:rPr>
        <w:t>5 ·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Data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Self-hosted infra-তে encrypted; রিপোর্টে credential redacted; raw data ডেলিভারির ৩০ দিন পর auto-purge — লিখিত অনুরোধে তার আগেই।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Confidentiality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Findings গোপন; শুধু §1-এ নির্ধারিত recipient-এর কাছে যাবে।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Reporting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Scan শেষে ৩–৫ কর্মদিবসে final report (finding শূন্য হলেও coverage + confidence statement-সহ); Critical/High নিশ্চিত হওয়ার ২৪ ঘণ্টায় phone + email-এ escalate।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Assurance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Point-in-time assessment — সব vulnerability খুঁজে পাওয়ার guarantee নয়।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Liability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প্রদত্ত ফি বা ৳১০,০০০ — যেটি বেশি — তাতে সীমাবদ্ধ; indirect/consequential loss-এর দায় নেই; ভুল/মিথ্যা authorization তথ্যের দায় Client-এর।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Termination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৭ দিনের লিখিত নোটিশে বাতিলযোগ্য; সম্পন্ন কাজের ফি অ-ফেরতযোগ্য। Authorization প্রত্যাহার (§2) সবসময় তাৎক্ষণিক।</w:t>
            </w:r>
          </w:p>
        </w:tc>
      </w:tr>
      <w:tr>
        <w:tc>
          <w:tcPr>
            <w:tcW w:type="dxa" w:w="2016"/>
          </w:tcPr>
          <w:p>
            <w:r/>
            <w:r>
              <w:rPr>
                <w:b/>
                <w:sz w:val="19"/>
              </w:rPr>
              <w:t>Governing law</w:t>
            </w:r>
          </w:p>
        </w:tc>
        <w:tc>
          <w:tcPr>
            <w:tcW w:type="dxa" w:w="7920"/>
          </w:tcPr>
          <w:p>
            <w:r/>
            <w:r>
              <w:rPr>
                <w:sz w:val="19"/>
              </w:rPr>
              <w:t>বাংলাদেশ; আন্তর্জাতিক ক্লায়েন্টের জন্য পৃথক arbitration clause।</w:t>
            </w:r>
          </w:p>
        </w:tc>
      </w:tr>
    </w:tbl>
    <w:p>
      <w:pPr>
        <w:spacing w:before="180" w:after="60"/>
      </w:pPr>
      <w:r>
        <w:rPr>
          <w:b/>
          <w:color w:val="C2361A"/>
          <w:sz w:val="24"/>
        </w:rPr>
        <w:t>6 · Case study (optional)</w:t>
      </w:r>
    </w:p>
    <w:p>
      <w:pPr>
        <w:spacing w:after="40"/>
      </w:pPr>
      <w:r>
        <w:rPr>
          <w:b w:val="0"/>
          <w:i w:val="0"/>
          <w:sz w:val="20"/>
        </w:rPr>
        <w:t>☐ হ্যাঁ — fix নিশ্চিত হওয়ার পর Cindrasec একটি anonymized, redacted case study প্রকাশ করতে পারবে; প্রকাশের আগে Client চূড়ান্ত টেক্সট অনুমোদন করবে।</w:t>
      </w:r>
    </w:p>
    <w:p>
      <w:pPr>
        <w:spacing w:after="60"/>
      </w:pPr>
      <w:r>
        <w:rPr>
          <w:b w:val="0"/>
          <w:i w:val="0"/>
          <w:sz w:val="20"/>
        </w:rPr>
        <w:t>☐ না — কোনো case study নয়।  (টিক না দিলে = না।)</w:t>
      </w:r>
    </w:p>
    <w:p>
      <w:pPr>
        <w:spacing w:before="180" w:after="60"/>
      </w:pPr>
      <w:r>
        <w:rPr>
          <w:b/>
          <w:color w:val="C2361A"/>
          <w:sz w:val="24"/>
        </w:rPr>
        <w:t>7 ·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Client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Cindrasec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Name: ____________________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Name: Md. Azmol Haque Rony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Title: ____________________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Title: Independent Security Researcher — Cindrasec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Signature: ________________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Signature: ________________</w:t>
            </w:r>
          </w:p>
        </w:tc>
      </w:tr>
      <w:tr>
        <w:tc>
          <w:tcPr>
            <w:tcW w:type="dxa" w:w="4968"/>
          </w:tcPr>
          <w:p>
            <w:r/>
            <w:r>
              <w:rPr>
                <w:sz w:val="19"/>
              </w:rPr>
              <w:t>Date: ____________</w:t>
            </w:r>
          </w:p>
        </w:tc>
        <w:tc>
          <w:tcPr>
            <w:tcW w:type="dxa" w:w="4968"/>
          </w:tcPr>
          <w:p>
            <w:r/>
            <w:r>
              <w:rPr>
                <w:sz w:val="19"/>
              </w:rPr>
              <w:t>Date: ____________</w:t>
            </w:r>
          </w:p>
        </w:tc>
      </w:tr>
    </w:tbl>
    <w:p>
      <w:pPr>
        <w:spacing w:before="160"/>
      </w:pPr>
      <w:r>
        <w:rPr>
          <w:i/>
          <w:color w:val="555B63"/>
          <w:sz w:val="17"/>
        </w:rPr>
        <w:t>DRAFT — প্রথম paid engagement ও যেকোনো আন্তর্জাতিক ক্লায়েন্টের আগে আইনজীবী-রিভিউ করান। এটি আইনি পরামর্শ নয়।</w:t>
      </w:r>
    </w:p>
    <w:sectPr w:rsidR="00FC693F" w:rsidRPr="0006063C" w:rsidSect="00034616"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