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produced is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endlendl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grendel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asks for an input when it prints “Enter a number: “ and then with the input, it’ll print a triangle with a base and height as wide and tall as the inputted integer ( triangle pointing tip upward).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Ex. if 4 is inputted as the integer side, the triangle will be 4 lines tall and the base will be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4 #’s long. The first line with one #, the second with 2 #’s, the third with 3 #’s, and the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last with 4 #’s.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####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#include &lt;iostream&gt;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int side;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int j; //declaring int j to use as a counter in the while loop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j = i;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while ( j &gt;= 0)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cout &lt;&lt; "#";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j--;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(codeSection) {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case 281 :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cout &lt;&lt; “bigamy”; 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break; 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case 321 :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case 322 : 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cout &lt;&lt; “selling illegal lottery tickets”; 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break; 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case 383 :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cout &lt;&lt; “selling rancid butter”;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break; 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case 598 : 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cout &lt;&lt; “injuring a bird in a public cemetery”; 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break;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default : 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cout &lt;&lt; “some other crime”;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