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b/>
          <w:bCs/>
          <w:sz w:val="28"/>
          <w:szCs w:val="28"/>
        </w:rPr>
        <w:t xml:space="preserve">Replication of Tables 1–2 and Figure 1 (VD Table 20260928)</w:t>
      </w:r>
    </w:p>
    <w:p>
      <w:pPr>
        <w:spacing w:after="120"/>
      </w:pPr>
      <w:r>
        <w:rPr>
          <w:rFonts w:ascii="Times New Roman" w:cs="Times New Roman" w:eastAsia="Times New Roman" w:hAnsi="Times New Roman"/>
          <w:sz w:val="20"/>
          <w:szCs w:val="20"/>
        </w:rPr>
        <w:t xml:space="preserve">Data: csdid_full7316 firm-year panel (filing-year counts of ultimately granted applications) and the application-level list linked through 2024 (forward citations). Estimator: Callaway–Sant’Anna group-time ATTs, never-treated controls, doubly robust (logit propensity score + OLS outcome model) with lagged log funding and lagged number of rounds measured in the base period, plus region and industry fixed effects; base period g−1 for post-treatment cells and t−1 for pre-treatment cells (Stata csdid default). Simple ATT weights post-treatment cells by cohort size; aggregated event study ATT is the mean of event-time ATTs at t = 0…4. p-values (in parentheses) come from a 49-replication firm-level bootstrap and are therefore approximate. Shaded rows show the original values.</w:t>
      </w:r>
    </w:p>
    <w:p>
      <w:pPr>
        <w:spacing w:after="120" w:before="240"/>
      </w:pPr>
      <w:r>
        <w:rPr>
          <w:rFonts w:ascii="Times New Roman" w:cs="Times New Roman" w:eastAsia="Times New Roman" w:hAnsi="Times New Roman"/>
          <w:b/>
          <w:bCs/>
          <w:sz w:val="22"/>
          <w:szCs w:val="22"/>
        </w:rPr>
        <w:t xml:space="preserve">Table 1. Staggered DiD Estimates on granted patent applications (replication)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350"/>
        <w:gridCol w:w="1350"/>
        <w:gridCol w:w="1350"/>
        <w:gridCol w:w="1350"/>
        <w:gridCol w:w="1350"/>
      </w:tblGrid>
      <w:tr>
        <w:tc>
          <w:tcPr>
            <w:tcW w:type="dxa" w:w="2600"/>
            <w:tcBorders>
              <w:top w:val="single" w:color="000000" w:sz="4"/>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DV: Granted patent applications (count)</w:t>
            </w:r>
          </w:p>
        </w:tc>
        <w:tc>
          <w:tcPr>
            <w:tcW w:type="dxa" w:w="1350"/>
            <w:tcBorders>
              <w:top w:val="single" w:color="000000" w:sz="4"/>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(1)</w:t>
            </w:r>
          </w:p>
        </w:tc>
        <w:tc>
          <w:tcPr>
            <w:tcW w:type="dxa" w:w="1350"/>
            <w:tcBorders>
              <w:top w:val="single" w:color="000000" w:sz="4"/>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(2)</w:t>
            </w:r>
          </w:p>
        </w:tc>
        <w:tc>
          <w:tcPr>
            <w:tcW w:type="dxa" w:w="1350"/>
            <w:tcBorders>
              <w:top w:val="single" w:color="000000" w:sz="4"/>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(3)</w:t>
            </w:r>
          </w:p>
        </w:tc>
        <w:tc>
          <w:tcPr>
            <w:tcW w:type="dxa" w:w="1350"/>
            <w:tcBorders>
              <w:top w:val="single" w:color="000000" w:sz="4"/>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(4)</w:t>
            </w:r>
          </w:p>
        </w:tc>
        <w:tc>
          <w:tcPr>
            <w:tcW w:type="dxa" w:w="1350"/>
            <w:tcBorders>
              <w:top w:val="single" w:color="000000" w:sz="4"/>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(5)</w:t>
            </w:r>
          </w:p>
        </w:tc>
      </w:tr>
      <w:tr>
        <w:tc>
          <w:tcPr>
            <w:tcW w:type="dxa" w:w="26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
            </w:r>
          </w:p>
        </w:tc>
        <w:tc>
          <w:tcPr>
            <w:tcW w:type="dxa" w:w="135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All firms</w:t>
            </w:r>
          </w:p>
        </w:tc>
        <w:tc>
          <w:tcPr>
            <w:tcW w:type="dxa" w:w="135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No prior patent</w:t>
            </w:r>
          </w:p>
        </w:tc>
        <w:tc>
          <w:tcPr>
            <w:tcW w:type="dxa" w:w="135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Prior patent</w:t>
            </w:r>
          </w:p>
        </w:tc>
        <w:tc>
          <w:tcPr>
            <w:tcW w:type="dxa" w:w="135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Early stage</w:t>
            </w:r>
          </w:p>
        </w:tc>
        <w:tc>
          <w:tcPr>
            <w:tcW w:type="dxa" w:w="135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Late stage</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Simple ATT</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−0.225**</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−0.013</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−0.836***</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−0.178*</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−0.384**</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(0.019)</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(0.863)</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(0.000)</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(0.061)</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(0.015)</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Aggregated event study ATT</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−0.201***</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−0.006</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−0.702***</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−0.137</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−0.395**</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(0.009)</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(0.902)</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(0.001)</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(0.111)</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(0.011)</w:t>
            </w:r>
          </w:p>
        </w:tc>
      </w:tr>
      <w:tr>
        <w:tc>
          <w:tcPr>
            <w:tcW w:type="dxa" w:w="260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i/>
                <w:iCs/>
                <w:sz w:val="19"/>
                <w:szCs w:val="19"/>
              </w:rPr>
              <w:t xml:space="preserve">Original: Simple ATT</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−0.226**</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−0.05</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−0.817**</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−0.138*</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−0.528**</w:t>
            </w:r>
          </w:p>
        </w:tc>
      </w:tr>
      <w:tr>
        <w:tc>
          <w:tcPr>
            <w:tcW w:type="dxa" w:w="260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i/>
                <w:iCs/>
                <w:sz w:val="19"/>
                <w:szCs w:val="19"/>
              </w:rPr>
              <w:t xml:space="preserve">Original: Aggregated ATT</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−0.190**</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−0.034</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−0.650**</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−0.07</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−0.531**</w:t>
            </w:r>
          </w:p>
        </w:tc>
      </w:tr>
      <w:tr>
        <w:tc>
          <w:tcPr>
            <w:tcW w:type="dxa" w:w="2600"/>
            <w:tcBorders>
              <w:top w:val="single" w:color="000000" w:sz="4"/>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Controls</w:t>
            </w:r>
          </w:p>
        </w:tc>
        <w:tc>
          <w:tcPr>
            <w:tcW w:type="dxa" w:w="1350"/>
            <w:tcBorders>
              <w:top w:val="single" w:color="000000" w:sz="4"/>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single" w:color="000000" w:sz="4"/>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single" w:color="000000" w:sz="4"/>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single" w:color="000000" w:sz="4"/>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single" w:color="000000" w:sz="4"/>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Region FE</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Industry FE</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Observations</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88,547</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83,757</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75,739</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83,254</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76,242</w:t>
            </w:r>
          </w:p>
        </w:tc>
      </w:tr>
      <w:tr>
        <w:tc>
          <w:tcPr>
            <w:tcW w:type="dxa" w:w="260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i/>
                <w:iCs/>
                <w:sz w:val="19"/>
                <w:szCs w:val="19"/>
              </w:rPr>
              <w:t xml:space="preserve">Original observations</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88,547</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83,757</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75,739</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83,285</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76,211</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Firms</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7,273</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6,892</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6,255</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6,860</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6,287</w:t>
            </w:r>
          </w:p>
        </w:tc>
      </w:tr>
      <w:tr>
        <w:tc>
          <w:tcPr>
            <w:tcW w:type="dxa" w:w="26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Control</w:t>
            </w:r>
          </w:p>
        </w:tc>
        <w:tc>
          <w:tcPr>
            <w:tcW w:type="dxa" w:w="135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Never treat</w:t>
            </w:r>
          </w:p>
        </w:tc>
        <w:tc>
          <w:tcPr>
            <w:tcW w:type="dxa" w:w="135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Never treat</w:t>
            </w:r>
          </w:p>
        </w:tc>
        <w:tc>
          <w:tcPr>
            <w:tcW w:type="dxa" w:w="135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Never treat</w:t>
            </w:r>
          </w:p>
        </w:tc>
        <w:tc>
          <w:tcPr>
            <w:tcW w:type="dxa" w:w="135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Never treat</w:t>
            </w:r>
          </w:p>
        </w:tc>
        <w:tc>
          <w:tcPr>
            <w:tcW w:type="dxa" w:w="135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Never treat</w:t>
            </w:r>
          </w:p>
        </w:tc>
      </w:tr>
    </w:tbl>
    <w:p>
      <w:pPr>
        <w:spacing w:after="200" w:before="80"/>
      </w:pPr>
      <w:r>
        <w:rPr>
          <w:rFonts w:ascii="Times New Roman" w:cs="Times New Roman" w:eastAsia="Times New Roman" w:hAnsi="Times New Roman"/>
          <w:sz w:val="17"/>
          <w:szCs w:val="17"/>
        </w:rPr>
        <w:t xml:space="preserve">Notes: *** p&lt;0.01, ** p&lt;0.05, * p&lt;0.1. Sample: firm-years from founding through 2024; 43 firms whose first VD occurred in their founding year have no pre-period and drop out. Prior patent = at least one ultimately granted application filed through G−1. Early stage = Crunchbase latest stage in G−1 is Seed, Early Stage Venture, Convertible Note, Grant, Private Equity, Non-equity Assistance or missing (this rule reproduces the original firm counts, 6,860 and 6,287).</w:t>
      </w:r>
    </w:p>
    <w:p>
      <w:pPr>
        <w:spacing w:after="120" w:before="240"/>
      </w:pPr>
      <w:r>
        <w:rPr>
          <w:rFonts w:ascii="Times New Roman" w:cs="Times New Roman" w:eastAsia="Times New Roman" w:hAnsi="Times New Roman"/>
          <w:b/>
          <w:bCs/>
          <w:sz w:val="22"/>
          <w:szCs w:val="22"/>
        </w:rPr>
        <w:t xml:space="preserve">Table 2. Staggered DiD Estimates on forward citations (replication)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350"/>
        <w:gridCol w:w="1350"/>
        <w:gridCol w:w="1350"/>
        <w:gridCol w:w="1350"/>
        <w:gridCol w:w="1350"/>
      </w:tblGrid>
      <w:tr>
        <w:tc>
          <w:tcPr>
            <w:tcW w:type="dxa" w:w="2600"/>
            <w:tcBorders>
              <w:top w:val="single" w:color="000000" w:sz="4"/>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DV: Forward citations per granted application</w:t>
            </w:r>
          </w:p>
        </w:tc>
        <w:tc>
          <w:tcPr>
            <w:tcW w:type="dxa" w:w="1350"/>
            <w:tcBorders>
              <w:top w:val="single" w:color="000000" w:sz="4"/>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(1)</w:t>
            </w:r>
          </w:p>
        </w:tc>
        <w:tc>
          <w:tcPr>
            <w:tcW w:type="dxa" w:w="1350"/>
            <w:tcBorders>
              <w:top w:val="single" w:color="000000" w:sz="4"/>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(2)</w:t>
            </w:r>
          </w:p>
        </w:tc>
        <w:tc>
          <w:tcPr>
            <w:tcW w:type="dxa" w:w="1350"/>
            <w:tcBorders>
              <w:top w:val="single" w:color="000000" w:sz="4"/>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(3)</w:t>
            </w:r>
          </w:p>
        </w:tc>
        <w:tc>
          <w:tcPr>
            <w:tcW w:type="dxa" w:w="1350"/>
            <w:tcBorders>
              <w:top w:val="single" w:color="000000" w:sz="4"/>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(4)</w:t>
            </w:r>
          </w:p>
        </w:tc>
        <w:tc>
          <w:tcPr>
            <w:tcW w:type="dxa" w:w="1350"/>
            <w:tcBorders>
              <w:top w:val="single" w:color="000000" w:sz="4"/>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(5)</w:t>
            </w:r>
          </w:p>
        </w:tc>
      </w:tr>
      <w:tr>
        <w:tc>
          <w:tcPr>
            <w:tcW w:type="dxa" w:w="26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
            </w:r>
          </w:p>
        </w:tc>
        <w:tc>
          <w:tcPr>
            <w:tcW w:type="dxa" w:w="135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All firms</w:t>
            </w:r>
          </w:p>
        </w:tc>
        <w:tc>
          <w:tcPr>
            <w:tcW w:type="dxa" w:w="135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No prior patent</w:t>
            </w:r>
          </w:p>
        </w:tc>
        <w:tc>
          <w:tcPr>
            <w:tcW w:type="dxa" w:w="135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Prior patent</w:t>
            </w:r>
          </w:p>
        </w:tc>
        <w:tc>
          <w:tcPr>
            <w:tcW w:type="dxa" w:w="135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Early stage</w:t>
            </w:r>
          </w:p>
        </w:tc>
        <w:tc>
          <w:tcPr>
            <w:tcW w:type="dxa" w:w="135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Late stage</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Simple ATT</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0.181</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1.271***</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−3.051***</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0.236</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0.052</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(0.518)</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(0.000)</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(0.004)</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(0.456)</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(0.859)</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Aggregated event study ATT</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0.139</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0.967***</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−2.019***</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0.269</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−0.122</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(0.466)</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(0.000)</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(0.001)</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(0.355)</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(0.583)</w:t>
            </w:r>
          </w:p>
        </w:tc>
      </w:tr>
      <w:tr>
        <w:tc>
          <w:tcPr>
            <w:tcW w:type="dxa" w:w="260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i/>
                <w:iCs/>
                <w:sz w:val="19"/>
                <w:szCs w:val="19"/>
              </w:rPr>
              <w:t xml:space="preserve">Original: Simple ATT</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0.248</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1.157</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−2.263</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0.767</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−1.670</w:t>
            </w:r>
          </w:p>
        </w:tc>
      </w:tr>
      <w:tr>
        <w:tc>
          <w:tcPr>
            <w:tcW w:type="dxa" w:w="260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i/>
                <w:iCs/>
                <w:sz w:val="19"/>
                <w:szCs w:val="19"/>
              </w:rPr>
              <w:t xml:space="preserve">Original: Aggregated ATT</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−0.717*</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−0.045</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−2.183</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−0.251</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−2.130*</w:t>
            </w:r>
          </w:p>
        </w:tc>
      </w:tr>
      <w:tr>
        <w:tc>
          <w:tcPr>
            <w:tcW w:type="dxa" w:w="2600"/>
            <w:tcBorders>
              <w:top w:val="single" w:color="000000" w:sz="4"/>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Controls</w:t>
            </w:r>
          </w:p>
        </w:tc>
        <w:tc>
          <w:tcPr>
            <w:tcW w:type="dxa" w:w="1350"/>
            <w:tcBorders>
              <w:top w:val="single" w:color="000000" w:sz="4"/>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single" w:color="000000" w:sz="4"/>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single" w:color="000000" w:sz="4"/>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single" w:color="000000" w:sz="4"/>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single" w:color="000000" w:sz="4"/>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Region FE</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Industry FE</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Yes</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Observations</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88,547</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83,757</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75,739</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83,254</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76,242</w:t>
            </w:r>
          </w:p>
        </w:tc>
      </w:tr>
      <w:tr>
        <w:tc>
          <w:tcPr>
            <w:tcW w:type="dxa" w:w="260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i/>
                <w:iCs/>
                <w:sz w:val="19"/>
                <w:szCs w:val="19"/>
              </w:rPr>
              <w:t xml:space="preserve">Original observations</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88,547</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83,757</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75,739</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83,285</w:t>
            </w:r>
          </w:p>
        </w:tc>
        <w:tc>
          <w:tcPr>
            <w:tcW w:type="dxa" w:w="1350"/>
            <w:tcBorders>
              <w:top w:val="none" w:color="FFFFFF" w:sz="0"/>
              <w:left w:val="none" w:color="FFFFFF" w:sz="0"/>
              <w:bottom w:val="none" w:color="FFFFFF" w:sz="0"/>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9"/>
                <w:szCs w:val="19"/>
              </w:rPr>
              <w:t xml:space="preserve">76,211</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Firms</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7,273</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6,892</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6,255</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6,860</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6,287</w:t>
            </w:r>
          </w:p>
        </w:tc>
      </w:tr>
      <w:tr>
        <w:tc>
          <w:tcPr>
            <w:tcW w:type="dxa" w:w="26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9"/>
                <w:szCs w:val="19"/>
              </w:rPr>
              <w:t xml:space="preserve">Control</w:t>
            </w:r>
          </w:p>
        </w:tc>
        <w:tc>
          <w:tcPr>
            <w:tcW w:type="dxa" w:w="135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Never treat</w:t>
            </w:r>
          </w:p>
        </w:tc>
        <w:tc>
          <w:tcPr>
            <w:tcW w:type="dxa" w:w="135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Never treat</w:t>
            </w:r>
          </w:p>
        </w:tc>
        <w:tc>
          <w:tcPr>
            <w:tcW w:type="dxa" w:w="135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Never treat</w:t>
            </w:r>
          </w:p>
        </w:tc>
        <w:tc>
          <w:tcPr>
            <w:tcW w:type="dxa" w:w="135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Never treat</w:t>
            </w:r>
          </w:p>
        </w:tc>
        <w:tc>
          <w:tcPr>
            <w:tcW w:type="dxa" w:w="135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9"/>
                <w:szCs w:val="19"/>
              </w:rPr>
              <w:t xml:space="preserve">Never treat</w:t>
            </w:r>
          </w:p>
        </w:tc>
      </w:tr>
    </w:tbl>
    <w:p>
      <w:pPr>
        <w:spacing w:after="200" w:before="80"/>
      </w:pPr>
      <w:r>
        <w:rPr>
          <w:rFonts w:ascii="Times New Roman" w:cs="Times New Roman" w:eastAsia="Times New Roman" w:hAnsi="Times New Roman"/>
          <w:sz w:val="17"/>
          <w:szCs w:val="17"/>
        </w:rPr>
        <w:t xml:space="preserve">Notes: *** p&lt;0.01, ** p&lt;0.05, * p&lt;0.1. DV = mean forward citations (through 2024) per ultimately granted application filed in year t; zero for firm-years with no granted application. Of the definitions tested (sum, mean, log of sum), the mean comes closest to the original Simple ATTs, but the original citation variable could not be identified with certainty.</w:t>
      </w:r>
    </w:p>
    <w:p>
      <w:pPr>
        <w:spacing w:after="120" w:before="240"/>
      </w:pPr>
      <w:r>
        <w:rPr>
          <w:rFonts w:ascii="Times New Roman" w:cs="Times New Roman" w:eastAsia="Times New Roman" w:hAnsi="Times New Roman"/>
          <w:b/>
          <w:bCs/>
          <w:sz w:val="22"/>
          <w:szCs w:val="22"/>
        </w:rPr>
        <w:t xml:space="preserve">Figure 1. Diagnostic analysis for the staggered DID design (replication)</w:t>
      </w:r>
    </w:p>
    <w:p>
      <w:r>
        <w:drawing>
          <wp:inline distT="0" distB="0" distL="0" distR="0">
            <wp:extent cx="6096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2247900"/>
                    </a:xfrm>
                    <a:prstGeom prst="rect">
                      <a:avLst/>
                    </a:prstGeom>
                  </pic:spPr>
                </pic:pic>
              </a:graphicData>
            </a:graphic>
          </wp:inline>
        </w:drawing>
      </w:r>
    </w:p>
    <w:p>
      <w:pPr>
        <w:spacing w:after="200" w:before="80"/>
      </w:pPr>
      <w:r>
        <w:rPr>
          <w:rFonts w:ascii="Times New Roman" w:cs="Times New Roman" w:eastAsia="Times New Roman" w:hAnsi="Times New Roman"/>
          <w:sz w:val="17"/>
          <w:szCs w:val="17"/>
        </w:rPr>
        <w:t xml:space="preserve">Panel A: treated mean = average count across VD-backed firm-years at each event time; control mean = never-treated mean in the same calendar year, weighted by the number of treated firm-years in each cohort at that event time. Counterfactual = treated mean − ATT(e) for e ≥ 0. Panel B: event-time ATTs with 95% bootstrap confidence intervals.</w:t>
      </w:r>
    </w:p>
    <w:p>
      <w:pPr>
        <w:spacing w:after="120" w:before="240"/>
      </w:pPr>
      <w:r>
        <w:rPr>
          <w:rFonts w:ascii="Times New Roman" w:cs="Times New Roman" w:eastAsia="Times New Roman" w:hAnsi="Times New Roman"/>
          <w:b/>
          <w:bCs/>
          <w:sz w:val="22"/>
          <w:szCs w:val="22"/>
        </w:rPr>
        <w:t xml:space="preserve">What was reproduced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440"/>
      </w:tblGrid>
      <w:tr>
        <w:tc>
          <w:tcPr>
            <w:tcW w:type="dxa" w:w="3000"/>
            <w:tcBorders>
              <w:top w:val="single" w:color="000000" w:sz="4"/>
              <w:left w:val="none" w:color="FFFFFF" w:sz="0"/>
              <w:bottom w:val="single" w:color="000000" w:sz="4"/>
              <w:right w:val="none" w:color="FFFFFF" w:sz="0"/>
            </w:tcBorders>
            <w:tcMar>
              <w:top w:type="dxa" w:w="40"/>
              <w:left w:type="dxa" w:w="80"/>
              <w:bottom w:type="dxa" w:w="40"/>
              <w:right w:type="dxa" w:w="80"/>
            </w:tcMar>
          </w:tcPr>
          <w:p>
            <w:r>
              <w:rPr>
                <w:rFonts w:ascii="Times New Roman" w:cs="Times New Roman" w:eastAsia="Times New Roman" w:hAnsi="Times New Roman"/>
                <w:b/>
                <w:bCs/>
                <w:sz w:val="18"/>
                <w:szCs w:val="18"/>
              </w:rPr>
              <w:t xml:space="preserve">Item</w:t>
            </w:r>
          </w:p>
        </w:tc>
        <w:tc>
          <w:tcPr>
            <w:tcW w:type="dxa" w:w="2200"/>
            <w:tcBorders>
              <w:top w:val="single" w:color="000000" w:sz="4"/>
              <w:left w:val="none" w:color="FFFFFF" w:sz="0"/>
              <w:bottom w:val="single" w:color="000000" w:sz="4"/>
              <w:right w:val="none" w:color="FFFFFF" w:sz="0"/>
            </w:tcBorders>
            <w:tcMar>
              <w:top w:type="dxa" w:w="40"/>
              <w:left w:type="dxa" w:w="80"/>
              <w:bottom w:type="dxa" w:w="40"/>
              <w:right w:type="dxa" w:w="80"/>
            </w:tcMar>
          </w:tcPr>
          <w:p>
            <w:r>
              <w:rPr>
                <w:rFonts w:ascii="Times New Roman" w:cs="Times New Roman" w:eastAsia="Times New Roman" w:hAnsi="Times New Roman"/>
                <w:b/>
                <w:bCs/>
                <w:sz w:val="18"/>
                <w:szCs w:val="18"/>
              </w:rPr>
              <w:t xml:space="preserve">Original</w:t>
            </w:r>
          </w:p>
        </w:tc>
        <w:tc>
          <w:tcPr>
            <w:tcW w:type="dxa" w:w="2200"/>
            <w:tcBorders>
              <w:top w:val="single" w:color="000000" w:sz="4"/>
              <w:left w:val="none" w:color="FFFFFF" w:sz="0"/>
              <w:bottom w:val="single" w:color="000000" w:sz="4"/>
              <w:right w:val="none" w:color="FFFFFF" w:sz="0"/>
            </w:tcBorders>
            <w:tcMar>
              <w:top w:type="dxa" w:w="40"/>
              <w:left w:type="dxa" w:w="80"/>
              <w:bottom w:type="dxa" w:w="40"/>
              <w:right w:type="dxa" w:w="80"/>
            </w:tcMar>
          </w:tcPr>
          <w:p>
            <w:r>
              <w:rPr>
                <w:rFonts w:ascii="Times New Roman" w:cs="Times New Roman" w:eastAsia="Times New Roman" w:hAnsi="Times New Roman"/>
                <w:b/>
                <w:bCs/>
                <w:sz w:val="18"/>
                <w:szCs w:val="18"/>
              </w:rPr>
              <w:t xml:space="preserve">Replication</w:t>
            </w:r>
          </w:p>
        </w:tc>
        <w:tc>
          <w:tcPr>
            <w:tcW w:type="dxa" w:w="2440"/>
            <w:tcBorders>
              <w:top w:val="single" w:color="000000" w:sz="4"/>
              <w:left w:val="none" w:color="FFFFFF" w:sz="0"/>
              <w:bottom w:val="single" w:color="000000" w:sz="4"/>
              <w:right w:val="none" w:color="FFFFFF" w:sz="0"/>
            </w:tcBorders>
            <w:tcMar>
              <w:top w:type="dxa" w:w="40"/>
              <w:left w:type="dxa" w:w="80"/>
              <w:bottom w:type="dxa" w:w="40"/>
              <w:right w:type="dxa" w:w="80"/>
            </w:tcMar>
          </w:tcPr>
          <w:p>
            <w:r>
              <w:rPr>
                <w:rFonts w:ascii="Times New Roman" w:cs="Times New Roman" w:eastAsia="Times New Roman" w:hAnsi="Times New Roman"/>
                <w:b/>
                <w:bCs/>
                <w:sz w:val="18"/>
                <w:szCs w:val="18"/>
              </w:rPr>
              <w:t xml:space="preserve">Status</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Observations / firms (all)</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88,547 / 7,273</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88,547 / 7,273</w:t>
            </w:r>
          </w:p>
        </w:tc>
        <w:tc>
          <w:tcPr>
            <w:tcW w:type="dxa" w:w="244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Exact</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Prior / no-prior firm counts</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6,255 / 6,892</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6,255 / 6,892</w:t>
            </w:r>
          </w:p>
        </w:tc>
        <w:tc>
          <w:tcPr>
            <w:tcW w:type="dxa" w:w="244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Exact</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Early / late firm counts</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6,860 / 6,287</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6,860 / 6,287</w:t>
            </w:r>
          </w:p>
        </w:tc>
        <w:tc>
          <w:tcPr>
            <w:tcW w:type="dxa" w:w="244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Exact (obs differ by 31)</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Figure 1A treated means (t−4…t+4)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0.466 … 0.358</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0.466 … 0.358</w:t>
            </w:r>
          </w:p>
        </w:tc>
        <w:tc>
          <w:tcPr>
            <w:tcW w:type="dxa" w:w="244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Exact, all 9 points</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Figure 1A control means (t−4…t+4)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0.356 … 0.460</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0.356 … 0.460</w:t>
            </w:r>
          </w:p>
        </w:tc>
        <w:tc>
          <w:tcPr>
            <w:tcW w:type="dxa" w:w="244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Exact, all 9 points</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Table 1 col. 1 Simple / Aggregated ATT</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−0.226 / −0.190</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−0.225 / −0.201</w:t>
            </w:r>
          </w:p>
        </w:tc>
        <w:tc>
          <w:tcPr>
            <w:tcW w:type="dxa" w:w="244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Close</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Table 1 col. 3 Prior patent</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−0.817 / −0.650</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−0.836 / −0.702</w:t>
            </w:r>
          </w:p>
        </w:tc>
        <w:tc>
          <w:tcPr>
            <w:tcW w:type="dxa" w:w="244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Close</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Table 1 cols. 2, 4, 5</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−0.05; −0.138; −0.528</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−0.013; −0.178; −0.384</w:t>
            </w:r>
          </w:p>
        </w:tc>
        <w:tc>
          <w:tcPr>
            <w:tcW w:type="dxa" w:w="244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Same sign, different size</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Figure 1B event-time ATTs</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−0.012 … −0.345</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−0.011 … −0.323</w:t>
            </w:r>
          </w:p>
        </w:tc>
        <w:tc>
          <w:tcPr>
            <w:tcW w:type="dxa" w:w="244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Close; pre-period t−2 differs (+0.03 vs +0.08)</w:t>
            </w:r>
          </w:p>
        </w:tc>
      </w:tr>
      <w:tr>
        <w:tc>
          <w:tcPr>
            <w:tcW w:type="dxa" w:w="3000"/>
            <w:tcBorders>
              <w:top w:val="none" w:color="FFFFFF" w:sz="0"/>
              <w:left w:val="none" w:color="FFFFFF" w:sz="0"/>
              <w:bottom w:val="single" w:color="000000" w:sz="4"/>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Table 2 (citations)</w:t>
            </w:r>
          </w:p>
        </w:tc>
        <w:tc>
          <w:tcPr>
            <w:tcW w:type="dxa" w:w="2200"/>
            <w:tcBorders>
              <w:top w:val="none" w:color="FFFFFF" w:sz="0"/>
              <w:left w:val="none" w:color="FFFFFF" w:sz="0"/>
              <w:bottom w:val="single" w:color="000000" w:sz="4"/>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0.248; 1.157; −2.263 …</w:t>
            </w:r>
          </w:p>
        </w:tc>
        <w:tc>
          <w:tcPr>
            <w:tcW w:type="dxa" w:w="2200"/>
            <w:tcBorders>
              <w:top w:val="none" w:color="FFFFFF" w:sz="0"/>
              <w:left w:val="none" w:color="FFFFFF" w:sz="0"/>
              <w:bottom w:val="single" w:color="000000" w:sz="4"/>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0.181; 1.271; −3.051 …</w:t>
            </w:r>
          </w:p>
        </w:tc>
        <w:tc>
          <w:tcPr>
            <w:tcW w:type="dxa" w:w="2440"/>
            <w:tcBorders>
              <w:top w:val="none" w:color="FFFFFF" w:sz="0"/>
              <w:left w:val="none" w:color="FFFFFF" w:sz="0"/>
              <w:bottom w:val="single" w:color="000000" w:sz="4"/>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Partly; DV definition uncertain</w:t>
            </w:r>
          </w:p>
        </w:tc>
      </w:tr>
    </w:tbl>
    <w:p>
      <w:pPr>
        <w:spacing w:after="120" w:before="240"/>
      </w:pPr>
      <w:r>
        <w:rPr>
          <w:rFonts w:ascii="Times New Roman" w:cs="Times New Roman" w:eastAsia="Times New Roman" w:hAnsi="Times New Roman"/>
          <w:b/>
          <w:bCs/>
          <w:sz w:val="22"/>
          <w:szCs w:val="22"/>
        </w:rPr>
        <w:t xml:space="preserve">Sensitivity to grant truncation (point estimates)</w:t>
      </w:r>
    </w:p>
    <w:p>
      <w:pPr>
        <w:spacing w:after="120"/>
      </w:pPr>
      <w:r>
        <w:rPr>
          <w:rFonts w:ascii="Times New Roman" w:cs="Times New Roman" w:eastAsia="Times New Roman" w:hAnsi="Times New Roman"/>
          <w:sz w:val="20"/>
          <w:szCs w:val="20"/>
        </w:rPr>
        <w:t xml:space="preserve">The outcome counts applications filed through 2024 that were granted by the end of 2024. Applications filed in 2021–2024 have mostly not yet been granted, so recent years are under-counted, and these years fall disproportionately in the post-treatment periods of later VD cohorts. Restricting to years where grant status is substantially observed reduces the estimates, especially for prior-patent firms: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300"/>
        <w:gridCol w:w="2770"/>
        <w:gridCol w:w="2770"/>
      </w:tblGrid>
      <w:tr>
        <w:tc>
          <w:tcPr>
            <w:tcW w:type="dxa" w:w="4300"/>
            <w:tcBorders>
              <w:top w:val="single" w:color="000000" w:sz="4"/>
              <w:left w:val="none" w:color="FFFFFF" w:sz="0"/>
              <w:bottom w:val="single" w:color="000000" w:sz="4"/>
              <w:right w:val="none" w:color="FFFFFF" w:sz="0"/>
            </w:tcBorders>
            <w:tcMar>
              <w:top w:type="dxa" w:w="40"/>
              <w:left w:type="dxa" w:w="80"/>
              <w:bottom w:type="dxa" w:w="40"/>
              <w:right w:type="dxa" w:w="80"/>
            </w:tcMar>
          </w:tcPr>
          <w:p>
            <w:r>
              <w:rPr>
                <w:rFonts w:ascii="Times New Roman" w:cs="Times New Roman" w:eastAsia="Times New Roman" w:hAnsi="Times New Roman"/>
                <w:b/>
                <w:bCs/>
                <w:sz w:val="18"/>
                <w:szCs w:val="18"/>
              </w:rPr>
              <w:t xml:space="preserve">Specification</w:t>
            </w:r>
          </w:p>
        </w:tc>
        <w:tc>
          <w:tcPr>
            <w:tcW w:type="dxa" w:w="2770"/>
            <w:tcBorders>
              <w:top w:val="single" w:color="000000" w:sz="4"/>
              <w:left w:val="none" w:color="FFFFFF" w:sz="0"/>
              <w:bottom w:val="single" w:color="000000" w:sz="4"/>
              <w:right w:val="none" w:color="FFFFFF" w:sz="0"/>
            </w:tcBorders>
            <w:tcMar>
              <w:top w:type="dxa" w:w="40"/>
              <w:left w:type="dxa" w:w="80"/>
              <w:bottom w:type="dxa" w:w="40"/>
              <w:right w:type="dxa" w:w="80"/>
            </w:tcMar>
          </w:tcPr>
          <w:p>
            <w:r>
              <w:rPr>
                <w:rFonts w:ascii="Times New Roman" w:cs="Times New Roman" w:eastAsia="Times New Roman" w:hAnsi="Times New Roman"/>
                <w:b/>
                <w:bCs/>
                <w:sz w:val="18"/>
                <w:szCs w:val="18"/>
              </w:rPr>
              <w:t xml:space="preserve">All firms: Simple / Aggregated</w:t>
            </w:r>
          </w:p>
        </w:tc>
        <w:tc>
          <w:tcPr>
            <w:tcW w:type="dxa" w:w="2770"/>
            <w:tcBorders>
              <w:top w:val="single" w:color="000000" w:sz="4"/>
              <w:left w:val="none" w:color="FFFFFF" w:sz="0"/>
              <w:bottom w:val="single" w:color="000000" w:sz="4"/>
              <w:right w:val="none" w:color="FFFFFF" w:sz="0"/>
            </w:tcBorders>
            <w:tcMar>
              <w:top w:type="dxa" w:w="40"/>
              <w:left w:type="dxa" w:w="80"/>
              <w:bottom w:type="dxa" w:w="40"/>
              <w:right w:type="dxa" w:w="80"/>
            </w:tcMar>
          </w:tcPr>
          <w:p>
            <w:r>
              <w:rPr>
                <w:rFonts w:ascii="Times New Roman" w:cs="Times New Roman" w:eastAsia="Times New Roman" w:hAnsi="Times New Roman"/>
                <w:b/>
                <w:bCs/>
                <w:sz w:val="18"/>
                <w:szCs w:val="18"/>
              </w:rPr>
              <w:t xml:space="preserve">Prior patent: Simple / Aggregated</w:t>
            </w:r>
          </w:p>
        </w:tc>
      </w:tr>
      <w:t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Original definition, filing years ≤ 2024 (Table 1)</w:t>
            </w:r>
          </w:p>
        </w:tc>
        <w:tc>
          <w:tcPr>
            <w:tcW w:type="dxa" w:w="277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−0.225 / −0.201</w:t>
            </w:r>
          </w:p>
        </w:tc>
        <w:tc>
          <w:tcPr>
            <w:tcW w:type="dxa" w:w="277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−0.836 / −0.702</w:t>
            </w:r>
          </w:p>
        </w:tc>
      </w:tr>
      <w:t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Same outcome, filing years ≤ 2020</w:t>
            </w:r>
          </w:p>
        </w:tc>
        <w:tc>
          <w:tcPr>
            <w:tcW w:type="dxa" w:w="277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−0.198 / −0.163</w:t>
            </w:r>
          </w:p>
        </w:tc>
        <w:tc>
          <w:tcPr>
            <w:tcW w:type="dxa" w:w="277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−0.391 / −0.371</w:t>
            </w:r>
          </w:p>
        </w:tc>
      </w:tr>
      <w:tr>
        <w:tc>
          <w:tcPr>
            <w:tcW w:type="dxa" w:w="4300"/>
            <w:tcBorders>
              <w:top w:val="none" w:color="FFFFFF" w:sz="0"/>
              <w:left w:val="none" w:color="FFFFFF" w:sz="0"/>
              <w:bottom w:val="single" w:color="000000" w:sz="4"/>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Granted within 3 years of filing, filing years ≤ 2021</w:t>
            </w:r>
          </w:p>
        </w:tc>
        <w:tc>
          <w:tcPr>
            <w:tcW w:type="dxa" w:w="2770"/>
            <w:tcBorders>
              <w:top w:val="none" w:color="FFFFFF" w:sz="0"/>
              <w:left w:val="none" w:color="FFFFFF" w:sz="0"/>
              <w:bottom w:val="single" w:color="000000" w:sz="4"/>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−0.186 / −0.133</w:t>
            </w:r>
          </w:p>
        </w:tc>
        <w:tc>
          <w:tcPr>
            <w:tcW w:type="dxa" w:w="2770"/>
            <w:tcBorders>
              <w:top w:val="none" w:color="FFFFFF" w:sz="0"/>
              <w:left w:val="none" w:color="FFFFFF" w:sz="0"/>
              <w:bottom w:val="single" w:color="000000" w:sz="4"/>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−0.237 / −0.216</w:t>
            </w:r>
          </w:p>
        </w:tc>
      </w:tr>
    </w:tbl>
    <w:p>
      <w:pPr>
        <w:spacing w:after="200" w:before="80"/>
      </w:pPr>
      <w:r>
        <w:rPr>
          <w:rFonts w:ascii="Times New Roman" w:cs="Times New Roman" w:eastAsia="Times New Roman" w:hAnsi="Times New Roman"/>
          <w:sz w:val="17"/>
          <w:szCs w:val="17"/>
        </w:rPr>
        <w:t xml:space="preserve">These sensitivity rows are point estimates only (no bootstrap). The direction of the effect survives, but roughly half to two-thirds of the prior-patent effect in Table 1 appears to come from truncated recent years.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d7461957e36851778ee8643ec628d9ba4790f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2026-10-12T17:08:12.479Z</dcterms:created>
  <dcterms:modified xsi:type="dcterms:W3CDTF">2026-10-12T17:08:12.482Z</dcterms:modified>
</cp:coreProperties>
</file>

<file path=docProps/custom.xml><?xml version="1.0" encoding="utf-8"?>
<Properties xmlns="http://schemas.openxmlformats.org/officeDocument/2006/custom-properties" xmlns:vt="http://schemas.openxmlformats.org/officeDocument/2006/docPropsVTypes"/>
</file>