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536D" w:rsidRPr="00AF536D" w:rsidRDefault="00AF536D" w:rsidP="00094453">
      <w:pPr>
        <w:spacing w:after="0" w:line="240" w:lineRule="auto"/>
        <w:jc w:val="both"/>
        <w:rPr>
          <w:b/>
          <w:bCs/>
        </w:rPr>
      </w:pPr>
      <w:bookmarkStart w:id="0" w:name="_GoBack"/>
      <w:r w:rsidRPr="00AF536D">
        <w:rPr>
          <w:b/>
          <w:bCs/>
        </w:rPr>
        <w:t>3. Revisit the Series B classification before finalizing the developmental-stage measure</w:t>
      </w:r>
    </w:p>
    <w:p w:rsidR="00094453" w:rsidRDefault="00094453" w:rsidP="00094453">
      <w:pPr>
        <w:widowControl/>
        <w:spacing w:before="100" w:after="120" w:line="240" w:lineRule="auto"/>
        <w:rPr>
          <w:rFonts w:eastAsia="Times New Roman"/>
          <w:color w:val="000000"/>
          <w:sz w:val="21"/>
        </w:rPr>
      </w:pPr>
      <w:r>
        <w:rPr>
          <w:rFonts w:hint="eastAsia"/>
        </w:rPr>
        <w:t>A</w:t>
      </w:r>
      <w:r>
        <w:t xml:space="preserve">ccording to Phan </w:t>
      </w:r>
      <w:proofErr w:type="gramStart"/>
      <w:r>
        <w:t>et al.(</w:t>
      </w:r>
      <w:proofErr w:type="gramEnd"/>
      <w:r>
        <w:t xml:space="preserve">2026) and </w:t>
      </w:r>
      <w:proofErr w:type="spellStart"/>
      <w:r>
        <w:t>DeSantola</w:t>
      </w:r>
      <w:proofErr w:type="spellEnd"/>
      <w:r>
        <w:t xml:space="preserve"> et al., (2023), </w:t>
      </w:r>
      <w:r>
        <w:rPr>
          <w:rFonts w:eastAsia="Times New Roman"/>
          <w:color w:val="000000"/>
          <w:sz w:val="21"/>
        </w:rPr>
        <w:t>w</w:t>
      </w:r>
      <w:r>
        <w:rPr>
          <w:rFonts w:eastAsia="Times New Roman"/>
          <w:color w:val="000000"/>
          <w:sz w:val="21"/>
        </w:rPr>
        <w:t>e classified firms as Seed/pre-Series, Series A, Series B, or Series C+ and estimated VD-by-stage interactions, followed by average VD effects within each stage. The negative association is strongest at Series C+</w:t>
      </w:r>
      <w:r>
        <w:rPr>
          <w:rFonts w:eastAsia="Times New Roman"/>
          <w:color w:val="000000"/>
          <w:sz w:val="21"/>
        </w:rPr>
        <w:t>.</w:t>
      </w:r>
    </w:p>
    <w:p w:rsidR="00CE6363" w:rsidRDefault="00CE6363" w:rsidP="00094453">
      <w:pPr>
        <w:widowControl/>
        <w:spacing w:before="100" w:after="120" w:line="240" w:lineRule="auto"/>
      </w:pPr>
    </w:p>
    <w:p w:rsidR="00CE6363" w:rsidRDefault="00CE6363" w:rsidP="00CE6363">
      <w:pPr>
        <w:widowControl/>
        <w:spacing w:before="100" w:after="120" w:line="240" w:lineRule="auto"/>
      </w:pPr>
      <w:r w:rsidRPr="00CE6363">
        <w:t xml:space="preserve">Pham et al. (2026, </w:t>
      </w:r>
      <w:r w:rsidRPr="00CE6363">
        <w:rPr>
          <w:i/>
          <w:iCs/>
        </w:rPr>
        <w:t>Review of Finance</w:t>
      </w:r>
      <w:r w:rsidRPr="00CE6363">
        <w:t xml:space="preserve">) explain their approach to classifying financing rounds when series information is missing in </w:t>
      </w:r>
      <w:proofErr w:type="spellStart"/>
      <w:r w:rsidRPr="00CE6363">
        <w:t>PitchBook</w:t>
      </w:r>
      <w:proofErr w:type="spellEnd"/>
      <w:r w:rsidRPr="00CE6363">
        <w:t>:</w:t>
      </w:r>
      <w:r>
        <w:t xml:space="preserve"> </w:t>
      </w:r>
      <w:r w:rsidRPr="00CE6363">
        <w:t>“a small fraction of rounds in Pitchbook have no clear series information. For these cases, we approximate the series label of a round by first using available information from its lead or lag round (e.g., a round is assumed to be a Series B round if its previous round is already identified as a Series A), and then by the order of the round (e.g., the first round is Seed, the second round is Series A, etc.)”</w:t>
      </w:r>
    </w:p>
    <w:p w:rsidR="00CE6363" w:rsidRPr="00CE6363" w:rsidRDefault="00CE6363" w:rsidP="00CE6363">
      <w:pPr>
        <w:widowControl/>
        <w:spacing w:before="100" w:after="120" w:line="240" w:lineRule="auto"/>
      </w:pPr>
      <w:proofErr w:type="spellStart"/>
      <w:r w:rsidRPr="00CE6363">
        <w:t>DeSantola</w:t>
      </w:r>
      <w:proofErr w:type="spellEnd"/>
      <w:r w:rsidRPr="00CE6363">
        <w:t xml:space="preserve"> et al. (2023, </w:t>
      </w:r>
      <w:r w:rsidRPr="00CE6363">
        <w:rPr>
          <w:i/>
          <w:iCs/>
        </w:rPr>
        <w:t>Organization Science</w:t>
      </w:r>
      <w:r w:rsidRPr="00CE6363">
        <w:t>) operationalize firms' developmental progress using completed VC financing rounds and IPO milestones:</w:t>
      </w:r>
      <w:r>
        <w:t xml:space="preserve"> </w:t>
      </w:r>
      <w:r w:rsidRPr="00CE6363">
        <w:t>“Here, we measured the number of milestones passed based on the completion of VC rounds and/or an initial public offering. This variable ranged from zero to four. We coded each of the first three formal rounds of VC finance (series A, B, and C) as one, two, and three, respectively. Firms that had completed an initial public offering at time t were coded as four. Here, we build on prior work that analytically treats raising a round of VC financing and undertaking an IPO as incremental increases in development progress.”</w:t>
      </w:r>
    </w:p>
    <w:p w:rsidR="00CE6363" w:rsidRDefault="00CE6363" w:rsidP="00CE6363">
      <w:pPr>
        <w:widowControl/>
        <w:spacing w:before="100" w:after="120" w:line="240" w:lineRule="auto"/>
      </w:pPr>
    </w:p>
    <w:p w:rsidR="00CE6363" w:rsidRPr="00CE6363" w:rsidRDefault="00CE6363" w:rsidP="00CE6363">
      <w:pPr>
        <w:widowControl/>
        <w:spacing w:before="100" w:after="120" w:line="240" w:lineRule="auto"/>
      </w:pPr>
      <w:r w:rsidRPr="00CE6363">
        <w:t xml:space="preserve">Building on these studies, we classified firms into four developmental stages at the time of VD financing: Seed/pre-Series, Series A, Series B, and Series C+. We </w:t>
      </w:r>
      <w:r>
        <w:t xml:space="preserve">reported regressions in </w:t>
      </w:r>
      <w:r w:rsidRPr="00676E87">
        <w:rPr>
          <w:b/>
        </w:rPr>
        <w:t>Table 4-1 and 4-2</w:t>
      </w:r>
      <w:r>
        <w:t xml:space="preserve"> for average marginal effect. </w:t>
      </w:r>
    </w:p>
    <w:p w:rsidR="00E70424" w:rsidRDefault="00E70424" w:rsidP="00FC7D93">
      <w:pPr>
        <w:spacing w:after="0" w:line="240" w:lineRule="auto"/>
        <w:jc w:val="both"/>
        <w:rPr>
          <w:b/>
          <w:bCs/>
        </w:rPr>
      </w:pPr>
    </w:p>
    <w:p w:rsidR="00AF536D" w:rsidRPr="00AF536D" w:rsidRDefault="00AF536D" w:rsidP="00FC7D93">
      <w:pPr>
        <w:spacing w:after="0" w:line="240" w:lineRule="auto"/>
        <w:jc w:val="both"/>
        <w:rPr>
          <w:b/>
          <w:bCs/>
        </w:rPr>
      </w:pPr>
      <w:r w:rsidRPr="00AF536D">
        <w:rPr>
          <w:b/>
          <w:bCs/>
        </w:rPr>
        <w:t>4. Revisit the pseudo-treatment-year construction</w:t>
      </w:r>
    </w:p>
    <w:p w:rsidR="00CB0735" w:rsidRPr="00094453" w:rsidRDefault="0023461C">
      <w:pPr>
        <w:widowControl/>
        <w:spacing w:before="100" w:after="120" w:line="240" w:lineRule="auto"/>
      </w:pPr>
      <w:r w:rsidRPr="00094453">
        <w:rPr>
          <w:rFonts w:eastAsia="Times New Roman"/>
          <w:color w:val="000000"/>
          <w:sz w:val="21"/>
        </w:rPr>
        <w:t>Table A16</w:t>
      </w:r>
      <w:r w:rsidRPr="00094453">
        <w:rPr>
          <w:rFonts w:eastAsia="Times New Roman"/>
          <w:color w:val="000000"/>
          <w:sz w:val="21"/>
        </w:rPr>
        <w:t xml:space="preserve"> summarize</w:t>
      </w:r>
      <w:r w:rsidR="00094453" w:rsidRPr="00094453">
        <w:rPr>
          <w:rFonts w:eastAsia="Times New Roman"/>
          <w:color w:val="000000"/>
          <w:sz w:val="21"/>
        </w:rPr>
        <w:t>s</w:t>
      </w:r>
      <w:r w:rsidRPr="00094453">
        <w:rPr>
          <w:rFonts w:eastAsia="Times New Roman"/>
          <w:color w:val="000000"/>
          <w:sz w:val="21"/>
        </w:rPr>
        <w:t xml:space="preserve"> time from founding to first VC, founding to first VD, and first VC to VD in the pre-matching sample. </w:t>
      </w:r>
    </w:p>
    <w:p w:rsidR="009F778A" w:rsidRDefault="009F778A" w:rsidP="00FC7D93">
      <w:pPr>
        <w:spacing w:after="0" w:line="240" w:lineRule="auto"/>
        <w:jc w:val="both"/>
        <w:rPr>
          <w:b/>
          <w:bCs/>
        </w:rPr>
      </w:pPr>
    </w:p>
    <w:p w:rsidR="00E70424" w:rsidRDefault="00E70424" w:rsidP="00FC7D93">
      <w:pPr>
        <w:spacing w:after="0" w:line="240" w:lineRule="auto"/>
        <w:jc w:val="both"/>
        <w:rPr>
          <w:b/>
          <w:bCs/>
        </w:rPr>
      </w:pPr>
      <w:r w:rsidRPr="002F2CF3">
        <w:rPr>
          <w:noProof/>
        </w:rPr>
        <w:drawing>
          <wp:inline distT="0" distB="0" distL="0" distR="0" wp14:anchorId="71826EE9" wp14:editId="5D5BEFDB">
            <wp:extent cx="5731510" cy="186753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67535"/>
                    </a:xfrm>
                    <a:prstGeom prst="rect">
                      <a:avLst/>
                    </a:prstGeom>
                  </pic:spPr>
                </pic:pic>
              </a:graphicData>
            </a:graphic>
          </wp:inline>
        </w:drawing>
      </w:r>
    </w:p>
    <w:p w:rsidR="00E70424" w:rsidRDefault="00E70424" w:rsidP="00FC7D93">
      <w:pPr>
        <w:spacing w:after="0" w:line="240" w:lineRule="auto"/>
        <w:jc w:val="both"/>
        <w:rPr>
          <w:b/>
          <w:bCs/>
        </w:rPr>
      </w:pPr>
    </w:p>
    <w:p w:rsidR="00AF536D" w:rsidRPr="00AF536D" w:rsidRDefault="00AF536D" w:rsidP="00FC7D93">
      <w:pPr>
        <w:spacing w:after="0" w:line="240" w:lineRule="auto"/>
        <w:jc w:val="both"/>
        <w:rPr>
          <w:b/>
          <w:bCs/>
        </w:rPr>
      </w:pPr>
      <w:r w:rsidRPr="00AF536D">
        <w:rPr>
          <w:b/>
          <w:bCs/>
        </w:rPr>
        <w:t xml:space="preserve">5. Explore a staggered </w:t>
      </w:r>
      <w:proofErr w:type="spellStart"/>
      <w:r w:rsidRPr="00AF536D">
        <w:rPr>
          <w:b/>
          <w:bCs/>
        </w:rPr>
        <w:t>DiD</w:t>
      </w:r>
      <w:proofErr w:type="spellEnd"/>
      <w:r w:rsidRPr="00AF536D">
        <w:rPr>
          <w:b/>
          <w:bCs/>
        </w:rPr>
        <w:t>/event-study design</w:t>
      </w:r>
    </w:p>
    <w:p w:rsidR="00CB0735" w:rsidRDefault="0023461C">
      <w:pPr>
        <w:widowControl/>
        <w:spacing w:before="100" w:after="120" w:line="240" w:lineRule="auto"/>
      </w:pPr>
      <w:r>
        <w:rPr>
          <w:rFonts w:eastAsia="Times New Roman"/>
          <w:b/>
          <w:color w:val="000000"/>
          <w:sz w:val="21"/>
        </w:rPr>
        <w:t>Tables 9–12 and Figures A3–A5</w:t>
      </w:r>
      <w:r>
        <w:rPr>
          <w:rFonts w:eastAsia="Times New Roman"/>
          <w:color w:val="000000"/>
          <w:sz w:val="21"/>
        </w:rPr>
        <w:t xml:space="preserve"> estimate</w:t>
      </w:r>
      <w:r>
        <w:rPr>
          <w:rFonts w:eastAsia="Times New Roman"/>
          <w:color w:val="000000"/>
          <w:sz w:val="21"/>
        </w:rPr>
        <w:t xml:space="preserve"> Callaway–</w:t>
      </w:r>
      <w:proofErr w:type="spellStart"/>
      <w:r>
        <w:rPr>
          <w:rFonts w:eastAsia="Times New Roman"/>
          <w:color w:val="000000"/>
          <w:sz w:val="21"/>
        </w:rPr>
        <w:t>Sant’Anna</w:t>
      </w:r>
      <w:proofErr w:type="spellEnd"/>
      <w:r>
        <w:rPr>
          <w:rFonts w:eastAsia="Times New Roman"/>
          <w:color w:val="000000"/>
          <w:sz w:val="21"/>
        </w:rPr>
        <w:t xml:space="preserve"> staggered </w:t>
      </w:r>
      <w:proofErr w:type="spellStart"/>
      <w:r>
        <w:rPr>
          <w:rFonts w:eastAsia="Times New Roman"/>
          <w:color w:val="000000"/>
          <w:sz w:val="21"/>
        </w:rPr>
        <w:t>DiD</w:t>
      </w:r>
      <w:proofErr w:type="spellEnd"/>
      <w:r>
        <w:rPr>
          <w:rFonts w:eastAsia="Times New Roman"/>
          <w:color w:val="000000"/>
          <w:sz w:val="21"/>
        </w:rPr>
        <w:t xml:space="preserve"> models on annual patent outcomes, using</w:t>
      </w:r>
      <w:r>
        <w:rPr>
          <w:rFonts w:eastAsia="Times New Roman"/>
          <w:color w:val="000000"/>
          <w:sz w:val="21"/>
        </w:rPr>
        <w:t xml:space="preserve"> first VD year as treatment timing and comparing never-treated with not-yet-treated controls. Event-study estimates span years −4 to +4 and examine pre-treatment patterns, post-treatment dynamics, and heterogeneity</w:t>
      </w:r>
      <w:r w:rsidR="00094453">
        <w:rPr>
          <w:rFonts w:eastAsia="Times New Roman"/>
          <w:color w:val="000000"/>
          <w:sz w:val="21"/>
        </w:rPr>
        <w:t>.</w:t>
      </w:r>
    </w:p>
    <w:p w:rsidR="00E70424" w:rsidRPr="00AF536D" w:rsidRDefault="00E70424" w:rsidP="00FC7D93">
      <w:pPr>
        <w:spacing w:after="0" w:line="240" w:lineRule="auto"/>
        <w:jc w:val="both"/>
      </w:pPr>
    </w:p>
    <w:p w:rsidR="00094453" w:rsidRDefault="00AF536D" w:rsidP="00FC7D93">
      <w:pPr>
        <w:spacing w:after="0" w:line="240" w:lineRule="auto"/>
        <w:jc w:val="both"/>
        <w:rPr>
          <w:b/>
          <w:bCs/>
        </w:rPr>
      </w:pPr>
      <w:r w:rsidRPr="00AF536D">
        <w:rPr>
          <w:b/>
          <w:bCs/>
        </w:rPr>
        <w:t>6. Take the VD amount/intensity analysis seriously</w:t>
      </w:r>
    </w:p>
    <w:p w:rsidR="00CB0735" w:rsidRDefault="0023461C">
      <w:pPr>
        <w:widowControl/>
        <w:spacing w:before="100" w:after="120" w:line="240" w:lineRule="auto"/>
      </w:pPr>
      <w:r>
        <w:rPr>
          <w:rFonts w:eastAsia="Times New Roman"/>
          <w:b/>
          <w:color w:val="000000"/>
          <w:sz w:val="21"/>
        </w:rPr>
        <w:t>Tables 13 and 14</w:t>
      </w:r>
      <w:r w:rsidR="00094453">
        <w:rPr>
          <w:rFonts w:eastAsia="Times New Roman"/>
          <w:b/>
          <w:color w:val="000000"/>
          <w:sz w:val="21"/>
        </w:rPr>
        <w:t xml:space="preserve"> </w:t>
      </w:r>
      <w:r w:rsidR="00094453" w:rsidRPr="00094453">
        <w:rPr>
          <w:rFonts w:eastAsia="Times New Roman"/>
          <w:color w:val="000000"/>
          <w:sz w:val="21"/>
        </w:rPr>
        <w:t>use</w:t>
      </w:r>
      <w:r>
        <w:rPr>
          <w:rFonts w:eastAsia="Times New Roman"/>
          <w:color w:val="000000"/>
          <w:sz w:val="21"/>
        </w:rPr>
        <w:t xml:space="preserve"> post-VD patenting to initial VD amount and VD re</w:t>
      </w:r>
      <w:r>
        <w:rPr>
          <w:rFonts w:eastAsia="Times New Roman"/>
          <w:color w:val="000000"/>
          <w:sz w:val="21"/>
        </w:rPr>
        <w:t>lative to the preceding equity round</w:t>
      </w:r>
      <w:r>
        <w:rPr>
          <w:rFonts w:eastAsia="Times New Roman"/>
          <w:color w:val="000000"/>
          <w:sz w:val="21"/>
        </w:rPr>
        <w:t xml:space="preserve">. </w:t>
      </w:r>
    </w:p>
    <w:p w:rsidR="00E70424" w:rsidRPr="00AF536D" w:rsidRDefault="00E70424" w:rsidP="00FC7D93">
      <w:pPr>
        <w:spacing w:after="0" w:line="240" w:lineRule="auto"/>
        <w:jc w:val="both"/>
      </w:pPr>
    </w:p>
    <w:p w:rsidR="00AF536D" w:rsidRPr="00AF536D" w:rsidRDefault="00AF536D" w:rsidP="00FC7D93">
      <w:pPr>
        <w:spacing w:after="0" w:line="240" w:lineRule="auto"/>
        <w:jc w:val="both"/>
        <w:rPr>
          <w:b/>
          <w:bCs/>
        </w:rPr>
      </w:pPr>
      <w:r w:rsidRPr="00AF536D">
        <w:rPr>
          <w:b/>
          <w:bCs/>
        </w:rPr>
        <w:t>7. Use lender identities primarily to validate the VD measure</w:t>
      </w:r>
    </w:p>
    <w:p w:rsidR="00E70424" w:rsidRDefault="00E70424" w:rsidP="00FC7D93">
      <w:pPr>
        <w:spacing w:after="0" w:line="240" w:lineRule="auto"/>
        <w:jc w:val="both"/>
      </w:pPr>
    </w:p>
    <w:tbl>
      <w:tblPr>
        <w:tblW w:w="8657"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4137"/>
        <w:gridCol w:w="617"/>
        <w:gridCol w:w="2162"/>
        <w:gridCol w:w="1741"/>
      </w:tblGrid>
      <w:tr w:rsidR="00E70424" w:rsidRPr="00E70424" w:rsidTr="002D4EA9">
        <w:trPr>
          <w:trHeight w:val="209"/>
          <w:tblHeader/>
          <w:tblCellSpacing w:w="15" w:type="dxa"/>
        </w:trPr>
        <w:tc>
          <w:tcPr>
            <w:tcW w:w="0" w:type="auto"/>
            <w:vAlign w:val="center"/>
            <w:hideMark/>
          </w:tcPr>
          <w:p w:rsidR="00E70424" w:rsidRPr="00094453" w:rsidRDefault="00E70424" w:rsidP="00E70424">
            <w:pPr>
              <w:spacing w:after="0" w:line="240" w:lineRule="auto"/>
              <w:jc w:val="center"/>
              <w:rPr>
                <w:b/>
                <w:bCs/>
                <w:sz w:val="20"/>
                <w:szCs w:val="20"/>
              </w:rPr>
            </w:pPr>
            <w:r w:rsidRPr="00094453">
              <w:rPr>
                <w:b/>
                <w:bCs/>
                <w:sz w:val="20"/>
                <w:szCs w:val="20"/>
              </w:rPr>
              <w:t>Classification</w:t>
            </w:r>
          </w:p>
        </w:tc>
        <w:tc>
          <w:tcPr>
            <w:tcW w:w="0" w:type="auto"/>
            <w:vAlign w:val="center"/>
            <w:hideMark/>
          </w:tcPr>
          <w:p w:rsidR="00E70424" w:rsidRPr="00094453" w:rsidRDefault="00E70424" w:rsidP="00E70424">
            <w:pPr>
              <w:spacing w:after="0" w:line="240" w:lineRule="auto"/>
              <w:jc w:val="center"/>
              <w:rPr>
                <w:b/>
                <w:bCs/>
                <w:sz w:val="20"/>
                <w:szCs w:val="20"/>
              </w:rPr>
            </w:pPr>
            <w:r w:rsidRPr="00094453">
              <w:rPr>
                <w:b/>
                <w:bCs/>
                <w:sz w:val="20"/>
                <w:szCs w:val="20"/>
              </w:rPr>
              <w:t>Firms</w:t>
            </w:r>
          </w:p>
        </w:tc>
        <w:tc>
          <w:tcPr>
            <w:tcW w:w="0" w:type="auto"/>
            <w:vAlign w:val="center"/>
            <w:hideMark/>
          </w:tcPr>
          <w:p w:rsidR="00E70424" w:rsidRPr="00094453" w:rsidRDefault="00E70424" w:rsidP="00E70424">
            <w:pPr>
              <w:spacing w:after="0" w:line="240" w:lineRule="auto"/>
              <w:jc w:val="center"/>
              <w:rPr>
                <w:b/>
                <w:bCs/>
                <w:sz w:val="20"/>
                <w:szCs w:val="20"/>
              </w:rPr>
            </w:pPr>
            <w:r w:rsidRPr="00094453">
              <w:rPr>
                <w:b/>
                <w:bCs/>
                <w:sz w:val="20"/>
                <w:szCs w:val="20"/>
              </w:rPr>
              <w:t>% of VD-</w:t>
            </w:r>
            <w:r w:rsidR="00094453" w:rsidRPr="00094453">
              <w:rPr>
                <w:b/>
                <w:bCs/>
                <w:sz w:val="20"/>
                <w:szCs w:val="20"/>
              </w:rPr>
              <w:t>backed</w:t>
            </w:r>
            <w:r w:rsidRPr="00094453">
              <w:rPr>
                <w:b/>
                <w:bCs/>
                <w:sz w:val="20"/>
                <w:szCs w:val="20"/>
              </w:rPr>
              <w:t xml:space="preserve"> firms</w:t>
            </w:r>
          </w:p>
        </w:tc>
        <w:tc>
          <w:tcPr>
            <w:tcW w:w="0" w:type="auto"/>
            <w:vAlign w:val="center"/>
            <w:hideMark/>
          </w:tcPr>
          <w:p w:rsidR="00E70424" w:rsidRPr="00094453" w:rsidRDefault="00094453" w:rsidP="00E70424">
            <w:pPr>
              <w:spacing w:after="0" w:line="240" w:lineRule="auto"/>
              <w:jc w:val="center"/>
              <w:rPr>
                <w:b/>
                <w:bCs/>
                <w:sz w:val="20"/>
                <w:szCs w:val="20"/>
              </w:rPr>
            </w:pPr>
            <w:r w:rsidRPr="00094453">
              <w:rPr>
                <w:b/>
                <w:bCs/>
                <w:sz w:val="20"/>
                <w:szCs w:val="20"/>
              </w:rPr>
              <w:t>F</w:t>
            </w:r>
            <w:r w:rsidR="00E70424" w:rsidRPr="00094453">
              <w:rPr>
                <w:b/>
                <w:bCs/>
                <w:sz w:val="20"/>
                <w:szCs w:val="20"/>
              </w:rPr>
              <w:t>irms with names</w:t>
            </w:r>
          </w:p>
        </w:tc>
      </w:tr>
      <w:tr w:rsidR="00E70424" w:rsidRPr="00E70424" w:rsidTr="002D4EA9">
        <w:trPr>
          <w:trHeight w:val="209"/>
          <w:tblCellSpacing w:w="15" w:type="dxa"/>
        </w:trPr>
        <w:tc>
          <w:tcPr>
            <w:tcW w:w="0" w:type="auto"/>
            <w:tcBorders>
              <w:top w:val="single" w:sz="4" w:space="0" w:color="auto"/>
              <w:bottom w:val="nil"/>
            </w:tcBorders>
            <w:vAlign w:val="center"/>
            <w:hideMark/>
          </w:tcPr>
          <w:p w:rsidR="00E70424" w:rsidRPr="00094453" w:rsidRDefault="00E70424" w:rsidP="00E70424">
            <w:pPr>
              <w:spacing w:after="0" w:line="240" w:lineRule="auto"/>
              <w:jc w:val="center"/>
              <w:rPr>
                <w:sz w:val="20"/>
                <w:szCs w:val="20"/>
              </w:rPr>
            </w:pPr>
            <w:r w:rsidRPr="00094453">
              <w:rPr>
                <w:sz w:val="20"/>
                <w:szCs w:val="20"/>
              </w:rPr>
              <w:t xml:space="preserve">Specialized </w:t>
            </w:r>
            <w:r w:rsidR="00094453" w:rsidRPr="00094453">
              <w:rPr>
                <w:sz w:val="20"/>
                <w:szCs w:val="20"/>
              </w:rPr>
              <w:t>VD</w:t>
            </w:r>
            <w:r w:rsidRPr="00094453">
              <w:rPr>
                <w:sz w:val="20"/>
                <w:szCs w:val="20"/>
              </w:rPr>
              <w:t xml:space="preserve"> providers</w:t>
            </w:r>
          </w:p>
        </w:tc>
        <w:tc>
          <w:tcPr>
            <w:tcW w:w="0" w:type="auto"/>
            <w:tcBorders>
              <w:top w:val="single" w:sz="4" w:space="0" w:color="auto"/>
              <w:bottom w:val="nil"/>
            </w:tcBorders>
            <w:vAlign w:val="center"/>
            <w:hideMark/>
          </w:tcPr>
          <w:p w:rsidR="00E70424" w:rsidRPr="00094453" w:rsidRDefault="00E70424" w:rsidP="00E70424">
            <w:pPr>
              <w:spacing w:after="0" w:line="240" w:lineRule="auto"/>
              <w:jc w:val="center"/>
              <w:rPr>
                <w:sz w:val="20"/>
                <w:szCs w:val="20"/>
              </w:rPr>
            </w:pPr>
            <w:r w:rsidRPr="00094453">
              <w:rPr>
                <w:sz w:val="20"/>
                <w:szCs w:val="20"/>
              </w:rPr>
              <w:t>134</w:t>
            </w:r>
          </w:p>
        </w:tc>
        <w:tc>
          <w:tcPr>
            <w:tcW w:w="0" w:type="auto"/>
            <w:tcBorders>
              <w:top w:val="single" w:sz="4" w:space="0" w:color="auto"/>
              <w:bottom w:val="nil"/>
            </w:tcBorders>
            <w:vAlign w:val="center"/>
            <w:hideMark/>
          </w:tcPr>
          <w:p w:rsidR="00E70424" w:rsidRPr="00094453" w:rsidRDefault="00E70424" w:rsidP="00E70424">
            <w:pPr>
              <w:spacing w:after="0" w:line="240" w:lineRule="auto"/>
              <w:jc w:val="center"/>
              <w:rPr>
                <w:sz w:val="20"/>
                <w:szCs w:val="20"/>
              </w:rPr>
            </w:pPr>
            <w:r w:rsidRPr="00094453">
              <w:rPr>
                <w:sz w:val="20"/>
                <w:szCs w:val="20"/>
              </w:rPr>
              <w:t>9.5</w:t>
            </w:r>
          </w:p>
        </w:tc>
        <w:tc>
          <w:tcPr>
            <w:tcW w:w="0" w:type="auto"/>
            <w:tcBorders>
              <w:top w:val="single" w:sz="4" w:space="0" w:color="auto"/>
              <w:bottom w:val="nil"/>
            </w:tcBorders>
            <w:vAlign w:val="center"/>
            <w:hideMark/>
          </w:tcPr>
          <w:p w:rsidR="00E70424" w:rsidRPr="00094453" w:rsidRDefault="00E70424" w:rsidP="00E70424">
            <w:pPr>
              <w:spacing w:after="0" w:line="240" w:lineRule="auto"/>
              <w:jc w:val="center"/>
              <w:rPr>
                <w:sz w:val="20"/>
                <w:szCs w:val="20"/>
              </w:rPr>
            </w:pPr>
            <w:r w:rsidRPr="00094453">
              <w:rPr>
                <w:sz w:val="20"/>
                <w:szCs w:val="20"/>
              </w:rPr>
              <w:t>18.8</w:t>
            </w:r>
            <w:r w:rsidR="00094453" w:rsidRPr="00094453">
              <w:rPr>
                <w:sz w:val="20"/>
                <w:szCs w:val="20"/>
              </w:rPr>
              <w:t>%</w:t>
            </w:r>
          </w:p>
        </w:tc>
      </w:tr>
      <w:tr w:rsidR="00E70424" w:rsidRPr="00E70424" w:rsidTr="002D4EA9">
        <w:trPr>
          <w:trHeight w:val="209"/>
          <w:tblCellSpacing w:w="15" w:type="dxa"/>
        </w:trPr>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 xml:space="preserve">Banks with established venture/startup lending </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106</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7.5</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14.8</w:t>
            </w:r>
            <w:r w:rsidR="00094453" w:rsidRPr="00094453">
              <w:rPr>
                <w:sz w:val="20"/>
                <w:szCs w:val="20"/>
              </w:rPr>
              <w:t>%</w:t>
            </w:r>
          </w:p>
        </w:tc>
      </w:tr>
      <w:tr w:rsidR="00E70424" w:rsidRPr="00E70424" w:rsidTr="002D4EA9">
        <w:trPr>
          <w:trHeight w:val="209"/>
          <w:tblCellSpacing w:w="15" w:type="dxa"/>
        </w:trPr>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Other identifiable institutional lenders</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163</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11.6</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22.8</w:t>
            </w:r>
            <w:r w:rsidR="00094453" w:rsidRPr="00094453">
              <w:rPr>
                <w:sz w:val="20"/>
                <w:szCs w:val="20"/>
              </w:rPr>
              <w:t>%</w:t>
            </w:r>
          </w:p>
        </w:tc>
      </w:tr>
      <w:tr w:rsidR="00E70424" w:rsidRPr="00E70424" w:rsidTr="002D4EA9">
        <w:trPr>
          <w:trHeight w:val="209"/>
          <w:tblCellSpacing w:w="15" w:type="dxa"/>
        </w:trPr>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Ambiguous cases</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311</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22.1</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43.6</w:t>
            </w:r>
            <w:r w:rsidR="00094453" w:rsidRPr="00094453">
              <w:rPr>
                <w:sz w:val="20"/>
                <w:szCs w:val="20"/>
              </w:rPr>
              <w:t>%</w:t>
            </w:r>
          </w:p>
        </w:tc>
      </w:tr>
      <w:tr w:rsidR="00E70424" w:rsidRPr="00E70424" w:rsidTr="002D4EA9">
        <w:trPr>
          <w:trHeight w:val="209"/>
          <w:tblCellSpacing w:w="15" w:type="dxa"/>
        </w:trPr>
        <w:tc>
          <w:tcPr>
            <w:tcW w:w="0" w:type="auto"/>
            <w:tcBorders>
              <w:top w:val="single" w:sz="4" w:space="0" w:color="auto"/>
              <w:bottom w:val="single" w:sz="4" w:space="0" w:color="auto"/>
            </w:tcBorders>
            <w:vAlign w:val="center"/>
            <w:hideMark/>
          </w:tcPr>
          <w:p w:rsidR="00E70424" w:rsidRPr="00094453" w:rsidRDefault="00E70424" w:rsidP="00E70424">
            <w:pPr>
              <w:spacing w:after="0" w:line="240" w:lineRule="auto"/>
              <w:jc w:val="center"/>
              <w:rPr>
                <w:sz w:val="20"/>
                <w:szCs w:val="20"/>
              </w:rPr>
            </w:pPr>
            <w:r w:rsidRPr="00094453">
              <w:rPr>
                <w:b/>
                <w:bCs/>
                <w:sz w:val="20"/>
                <w:szCs w:val="20"/>
              </w:rPr>
              <w:t xml:space="preserve">Subtotal: investor </w:t>
            </w:r>
            <w:r w:rsidR="00094453" w:rsidRPr="00094453">
              <w:rPr>
                <w:b/>
                <w:bCs/>
                <w:sz w:val="20"/>
                <w:szCs w:val="20"/>
              </w:rPr>
              <w:t>identity</w:t>
            </w:r>
            <w:r w:rsidRPr="00094453">
              <w:rPr>
                <w:b/>
                <w:bCs/>
                <w:sz w:val="20"/>
                <w:szCs w:val="20"/>
              </w:rPr>
              <w:t xml:space="preserve"> available</w:t>
            </w:r>
          </w:p>
        </w:tc>
        <w:tc>
          <w:tcPr>
            <w:tcW w:w="0" w:type="auto"/>
            <w:tcBorders>
              <w:top w:val="single" w:sz="4" w:space="0" w:color="auto"/>
              <w:bottom w:val="single" w:sz="4" w:space="0" w:color="auto"/>
            </w:tcBorders>
            <w:vAlign w:val="center"/>
            <w:hideMark/>
          </w:tcPr>
          <w:p w:rsidR="00E70424" w:rsidRPr="00094453" w:rsidRDefault="00E70424" w:rsidP="00E70424">
            <w:pPr>
              <w:spacing w:after="0" w:line="240" w:lineRule="auto"/>
              <w:jc w:val="center"/>
              <w:rPr>
                <w:sz w:val="20"/>
                <w:szCs w:val="20"/>
              </w:rPr>
            </w:pPr>
            <w:r w:rsidRPr="00094453">
              <w:rPr>
                <w:b/>
                <w:bCs/>
                <w:sz w:val="20"/>
                <w:szCs w:val="20"/>
              </w:rPr>
              <w:t>714</w:t>
            </w:r>
          </w:p>
        </w:tc>
        <w:tc>
          <w:tcPr>
            <w:tcW w:w="0" w:type="auto"/>
            <w:tcBorders>
              <w:top w:val="single" w:sz="4" w:space="0" w:color="auto"/>
              <w:bottom w:val="single" w:sz="4" w:space="0" w:color="auto"/>
            </w:tcBorders>
            <w:vAlign w:val="center"/>
            <w:hideMark/>
          </w:tcPr>
          <w:p w:rsidR="00E70424" w:rsidRPr="00094453" w:rsidRDefault="00E70424" w:rsidP="00E70424">
            <w:pPr>
              <w:spacing w:after="0" w:line="240" w:lineRule="auto"/>
              <w:jc w:val="center"/>
              <w:rPr>
                <w:sz w:val="20"/>
                <w:szCs w:val="20"/>
              </w:rPr>
            </w:pPr>
            <w:r w:rsidRPr="00094453">
              <w:rPr>
                <w:b/>
                <w:bCs/>
                <w:sz w:val="20"/>
                <w:szCs w:val="20"/>
              </w:rPr>
              <w:t>50.6</w:t>
            </w:r>
          </w:p>
        </w:tc>
        <w:tc>
          <w:tcPr>
            <w:tcW w:w="0" w:type="auto"/>
            <w:tcBorders>
              <w:top w:val="single" w:sz="4" w:space="0" w:color="auto"/>
              <w:bottom w:val="single" w:sz="4" w:space="0" w:color="auto"/>
            </w:tcBorders>
            <w:vAlign w:val="center"/>
            <w:hideMark/>
          </w:tcPr>
          <w:p w:rsidR="00E70424" w:rsidRPr="00094453" w:rsidRDefault="00E70424" w:rsidP="00E70424">
            <w:pPr>
              <w:spacing w:after="0" w:line="240" w:lineRule="auto"/>
              <w:jc w:val="center"/>
              <w:rPr>
                <w:sz w:val="20"/>
                <w:szCs w:val="20"/>
              </w:rPr>
            </w:pPr>
            <w:r w:rsidRPr="00094453">
              <w:rPr>
                <w:b/>
                <w:bCs/>
                <w:sz w:val="20"/>
                <w:szCs w:val="20"/>
              </w:rPr>
              <w:t>100.0</w:t>
            </w:r>
            <w:r w:rsidR="00094453" w:rsidRPr="00094453">
              <w:rPr>
                <w:b/>
                <w:bCs/>
                <w:sz w:val="20"/>
                <w:szCs w:val="20"/>
              </w:rPr>
              <w:t>%</w:t>
            </w:r>
          </w:p>
        </w:tc>
      </w:tr>
      <w:tr w:rsidR="00E70424" w:rsidRPr="00E70424" w:rsidTr="002D4EA9">
        <w:trPr>
          <w:trHeight w:val="209"/>
          <w:tblCellSpacing w:w="15" w:type="dxa"/>
        </w:trPr>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Investor names missing</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696</w:t>
            </w:r>
          </w:p>
        </w:tc>
        <w:tc>
          <w:tcPr>
            <w:tcW w:w="0" w:type="auto"/>
            <w:vAlign w:val="center"/>
            <w:hideMark/>
          </w:tcPr>
          <w:p w:rsidR="00E70424" w:rsidRPr="00094453" w:rsidRDefault="00E70424" w:rsidP="00E70424">
            <w:pPr>
              <w:spacing w:after="0" w:line="240" w:lineRule="auto"/>
              <w:jc w:val="center"/>
              <w:rPr>
                <w:sz w:val="20"/>
                <w:szCs w:val="20"/>
              </w:rPr>
            </w:pPr>
            <w:r w:rsidRPr="00094453">
              <w:rPr>
                <w:sz w:val="20"/>
                <w:szCs w:val="20"/>
              </w:rPr>
              <w:t>49.4</w:t>
            </w:r>
          </w:p>
        </w:tc>
        <w:tc>
          <w:tcPr>
            <w:tcW w:w="0" w:type="auto"/>
            <w:vAlign w:val="center"/>
          </w:tcPr>
          <w:p w:rsidR="00E70424" w:rsidRPr="00094453" w:rsidRDefault="00E70424" w:rsidP="00E70424">
            <w:pPr>
              <w:spacing w:after="0" w:line="240" w:lineRule="auto"/>
              <w:jc w:val="center"/>
              <w:rPr>
                <w:sz w:val="20"/>
                <w:szCs w:val="20"/>
              </w:rPr>
            </w:pPr>
          </w:p>
        </w:tc>
      </w:tr>
      <w:tr w:rsidR="00E70424" w:rsidRPr="00E70424" w:rsidTr="002D4EA9">
        <w:trPr>
          <w:trHeight w:val="209"/>
          <w:tblCellSpacing w:w="15" w:type="dxa"/>
        </w:trPr>
        <w:tc>
          <w:tcPr>
            <w:tcW w:w="0" w:type="auto"/>
            <w:vAlign w:val="center"/>
            <w:hideMark/>
          </w:tcPr>
          <w:p w:rsidR="00E70424" w:rsidRPr="00094453" w:rsidRDefault="00E70424" w:rsidP="00E70424">
            <w:pPr>
              <w:spacing w:after="0" w:line="240" w:lineRule="auto"/>
              <w:jc w:val="center"/>
              <w:rPr>
                <w:sz w:val="20"/>
                <w:szCs w:val="20"/>
              </w:rPr>
            </w:pPr>
            <w:r w:rsidRPr="00094453">
              <w:rPr>
                <w:b/>
                <w:bCs/>
                <w:sz w:val="20"/>
                <w:szCs w:val="20"/>
              </w:rPr>
              <w:t>Total VD-treated firms</w:t>
            </w:r>
          </w:p>
        </w:tc>
        <w:tc>
          <w:tcPr>
            <w:tcW w:w="0" w:type="auto"/>
            <w:vAlign w:val="center"/>
            <w:hideMark/>
          </w:tcPr>
          <w:p w:rsidR="00E70424" w:rsidRPr="00094453" w:rsidRDefault="00E70424" w:rsidP="00E70424">
            <w:pPr>
              <w:spacing w:after="0" w:line="240" w:lineRule="auto"/>
              <w:jc w:val="center"/>
              <w:rPr>
                <w:sz w:val="20"/>
                <w:szCs w:val="20"/>
              </w:rPr>
            </w:pPr>
            <w:r w:rsidRPr="00094453">
              <w:rPr>
                <w:b/>
                <w:bCs/>
                <w:sz w:val="20"/>
                <w:szCs w:val="20"/>
              </w:rPr>
              <w:t>1,410</w:t>
            </w:r>
          </w:p>
        </w:tc>
        <w:tc>
          <w:tcPr>
            <w:tcW w:w="0" w:type="auto"/>
            <w:vAlign w:val="center"/>
            <w:hideMark/>
          </w:tcPr>
          <w:p w:rsidR="00E70424" w:rsidRPr="00094453" w:rsidRDefault="00E70424" w:rsidP="00E70424">
            <w:pPr>
              <w:spacing w:after="0" w:line="240" w:lineRule="auto"/>
              <w:jc w:val="center"/>
              <w:rPr>
                <w:sz w:val="20"/>
                <w:szCs w:val="20"/>
              </w:rPr>
            </w:pPr>
            <w:r w:rsidRPr="00094453">
              <w:rPr>
                <w:b/>
                <w:bCs/>
                <w:sz w:val="20"/>
                <w:szCs w:val="20"/>
              </w:rPr>
              <w:t>100.0</w:t>
            </w:r>
          </w:p>
        </w:tc>
        <w:tc>
          <w:tcPr>
            <w:tcW w:w="0" w:type="auto"/>
            <w:vAlign w:val="center"/>
          </w:tcPr>
          <w:p w:rsidR="00E70424" w:rsidRPr="00094453" w:rsidRDefault="00E70424" w:rsidP="00E70424">
            <w:pPr>
              <w:spacing w:after="0" w:line="240" w:lineRule="auto"/>
              <w:jc w:val="center"/>
              <w:rPr>
                <w:sz w:val="20"/>
                <w:szCs w:val="20"/>
              </w:rPr>
            </w:pPr>
          </w:p>
        </w:tc>
      </w:tr>
    </w:tbl>
    <w:p w:rsidR="00CB0735" w:rsidRDefault="0023461C">
      <w:pPr>
        <w:widowControl/>
        <w:spacing w:before="100" w:after="120" w:line="240" w:lineRule="auto"/>
      </w:pPr>
      <w:r>
        <w:rPr>
          <w:rFonts w:eastAsia="Times New Roman"/>
          <w:color w:val="000000"/>
          <w:sz w:val="21"/>
        </w:rPr>
        <w:t>We classified the 714 matched VD firms with available investor names into specialized providers, venture-lending banks, other institutional lenders, and ambiguous cases. The other 696 firms remain unidentified</w:t>
      </w:r>
      <w:r w:rsidR="00094453">
        <w:rPr>
          <w:rFonts w:eastAsia="Times New Roman"/>
          <w:color w:val="000000"/>
          <w:sz w:val="21"/>
        </w:rPr>
        <w:t>.</w:t>
      </w:r>
    </w:p>
    <w:p w:rsidR="00E70424" w:rsidRPr="00AF536D" w:rsidRDefault="00E70424" w:rsidP="00FC7D93">
      <w:pPr>
        <w:spacing w:after="0" w:line="240" w:lineRule="auto"/>
        <w:jc w:val="both"/>
      </w:pPr>
    </w:p>
    <w:p w:rsidR="00AF536D" w:rsidRPr="00AF536D" w:rsidRDefault="00AF536D" w:rsidP="00FC7D93">
      <w:pPr>
        <w:spacing w:after="0" w:line="240" w:lineRule="auto"/>
        <w:jc w:val="both"/>
        <w:rPr>
          <w:b/>
          <w:bCs/>
        </w:rPr>
      </w:pPr>
      <w:r w:rsidRPr="00AF536D">
        <w:rPr>
          <w:b/>
          <w:bCs/>
        </w:rPr>
        <w:t>8. Strengthen the matching diagnostics if we retain PSM</w:t>
      </w:r>
    </w:p>
    <w:p w:rsidR="00CB0735" w:rsidRDefault="0023461C">
      <w:pPr>
        <w:widowControl/>
        <w:spacing w:before="100" w:after="120" w:line="240" w:lineRule="auto"/>
      </w:pPr>
      <w:r>
        <w:rPr>
          <w:rFonts w:eastAsia="Times New Roman"/>
          <w:b/>
          <w:color w:val="000000"/>
          <w:sz w:val="21"/>
        </w:rPr>
        <w:t xml:space="preserve">Table A15 </w:t>
      </w:r>
      <w:r w:rsidRPr="000D4D9D">
        <w:rPr>
          <w:rFonts w:eastAsia="Times New Roman"/>
          <w:color w:val="000000"/>
          <w:sz w:val="21"/>
        </w:rPr>
        <w:t>and</w:t>
      </w:r>
      <w:r>
        <w:rPr>
          <w:rFonts w:eastAsia="Times New Roman"/>
          <w:b/>
          <w:color w:val="000000"/>
          <w:sz w:val="21"/>
        </w:rPr>
        <w:t xml:space="preserve"> Figures A1–A2</w:t>
      </w:r>
      <w:r>
        <w:rPr>
          <w:rFonts w:eastAsia="Times New Roman"/>
          <w:color w:val="000000"/>
          <w:sz w:val="21"/>
        </w:rPr>
        <w:t xml:space="preserve"> report before</w:t>
      </w:r>
      <w:r w:rsidR="00094453">
        <w:rPr>
          <w:rFonts w:eastAsia="Times New Roman"/>
          <w:color w:val="000000"/>
          <w:sz w:val="21"/>
        </w:rPr>
        <w:t xml:space="preserve"> AND </w:t>
      </w:r>
      <w:r>
        <w:rPr>
          <w:rFonts w:eastAsia="Times New Roman"/>
          <w:color w:val="000000"/>
          <w:sz w:val="21"/>
        </w:rPr>
        <w:t xml:space="preserve">after matching comparisons, </w:t>
      </w:r>
      <w:r w:rsidR="00094453">
        <w:rPr>
          <w:rFonts w:eastAsia="Times New Roman"/>
          <w:color w:val="000000"/>
          <w:sz w:val="21"/>
        </w:rPr>
        <w:t>pscore</w:t>
      </w:r>
      <w:r>
        <w:rPr>
          <w:rFonts w:eastAsia="Times New Roman"/>
          <w:color w:val="000000"/>
          <w:sz w:val="21"/>
        </w:rPr>
        <w:t xml:space="preserve"> overlap, and a </w:t>
      </w:r>
      <w:r w:rsidR="00094453">
        <w:rPr>
          <w:rFonts w:eastAsia="Times New Roman"/>
          <w:color w:val="000000"/>
          <w:sz w:val="21"/>
        </w:rPr>
        <w:t>l</w:t>
      </w:r>
      <w:r>
        <w:rPr>
          <w:rFonts w:eastAsia="Times New Roman"/>
          <w:color w:val="000000"/>
          <w:sz w:val="21"/>
        </w:rPr>
        <w:t>ove plot of cov</w:t>
      </w:r>
      <w:r>
        <w:rPr>
          <w:rFonts w:eastAsia="Times New Roman"/>
          <w:color w:val="000000"/>
          <w:sz w:val="21"/>
        </w:rPr>
        <w:t>ariate balance. Table A15 is the current balance table, replacing the A9 cross-reference above</w:t>
      </w:r>
      <w:r w:rsidR="00094453">
        <w:rPr>
          <w:rFonts w:eastAsia="Times New Roman"/>
          <w:color w:val="000000"/>
          <w:sz w:val="21"/>
        </w:rPr>
        <w:t>.</w:t>
      </w:r>
    </w:p>
    <w:p w:rsidR="00A3370E" w:rsidRDefault="00A3370E" w:rsidP="00FC7D93">
      <w:pPr>
        <w:spacing w:after="0" w:line="240" w:lineRule="auto"/>
        <w:jc w:val="both"/>
        <w:rPr>
          <w:b/>
          <w:bCs/>
        </w:rPr>
      </w:pPr>
    </w:p>
    <w:p w:rsidR="00AF536D" w:rsidRPr="00AF536D" w:rsidRDefault="00AF536D" w:rsidP="00FC7D93">
      <w:pPr>
        <w:spacing w:after="0" w:line="240" w:lineRule="auto"/>
        <w:jc w:val="both"/>
        <w:rPr>
          <w:b/>
          <w:bCs/>
        </w:rPr>
      </w:pPr>
      <w:r w:rsidRPr="00AF536D">
        <w:rPr>
          <w:b/>
          <w:bCs/>
        </w:rPr>
        <w:t>9. Look for more direct measures of changes in startup innovation</w:t>
      </w:r>
    </w:p>
    <w:p w:rsidR="00CB0735" w:rsidRDefault="0023461C">
      <w:pPr>
        <w:widowControl/>
        <w:spacing w:before="100" w:after="120" w:line="240" w:lineRule="auto"/>
      </w:pPr>
      <w:r>
        <w:rPr>
          <w:rFonts w:eastAsia="Times New Roman"/>
          <w:b/>
          <w:color w:val="000000"/>
          <w:sz w:val="21"/>
        </w:rPr>
        <w:t>Tables A7–A14</w:t>
      </w:r>
      <w:r w:rsidR="00CE6363">
        <w:rPr>
          <w:rFonts w:eastAsia="Times New Roman"/>
          <w:b/>
          <w:color w:val="000000"/>
          <w:sz w:val="21"/>
        </w:rPr>
        <w:t xml:space="preserve"> </w:t>
      </w:r>
      <w:r>
        <w:rPr>
          <w:rFonts w:eastAsia="Times New Roman"/>
          <w:color w:val="000000"/>
          <w:sz w:val="21"/>
        </w:rPr>
        <w:t>add</w:t>
      </w:r>
      <w:r>
        <w:rPr>
          <w:rFonts w:eastAsia="Times New Roman"/>
          <w:color w:val="000000"/>
          <w:sz w:val="21"/>
        </w:rPr>
        <w:t xml:space="preserve"> patent-text readability, patents in new versus existin</w:t>
      </w:r>
      <w:r>
        <w:rPr>
          <w:rFonts w:eastAsia="Times New Roman"/>
          <w:color w:val="000000"/>
          <w:sz w:val="21"/>
        </w:rPr>
        <w:t xml:space="preserve">g CPC domains, entry into new CPC classes, backward-citation breadth, and self-citations over the three-year post-reference window. New-domain measures use </w:t>
      </w:r>
      <w:r>
        <w:rPr>
          <w:rFonts w:eastAsia="Times New Roman"/>
          <w:color w:val="000000"/>
          <w:sz w:val="21"/>
        </w:rPr>
        <w:t>distinct measures of innovation content, while technological distance</w:t>
      </w:r>
      <w:r w:rsidR="00CE6363">
        <w:rPr>
          <w:rFonts w:eastAsia="Times New Roman"/>
          <w:color w:val="000000"/>
          <w:sz w:val="21"/>
        </w:rPr>
        <w:t xml:space="preserve"> and </w:t>
      </w:r>
      <w:r>
        <w:rPr>
          <w:rFonts w:eastAsia="Times New Roman"/>
          <w:color w:val="000000"/>
          <w:sz w:val="21"/>
        </w:rPr>
        <w:t>originality</w:t>
      </w:r>
      <w:r w:rsidR="00CE6363">
        <w:rPr>
          <w:rFonts w:eastAsia="Times New Roman"/>
          <w:color w:val="000000"/>
          <w:sz w:val="21"/>
        </w:rPr>
        <w:t xml:space="preserve"> </w:t>
      </w:r>
      <w:r>
        <w:rPr>
          <w:rFonts w:eastAsia="Times New Roman"/>
          <w:color w:val="000000"/>
          <w:sz w:val="21"/>
        </w:rPr>
        <w:t>are not reported</w:t>
      </w:r>
      <w:r w:rsidR="00CE6363">
        <w:rPr>
          <w:rFonts w:eastAsia="Times New Roman"/>
          <w:color w:val="000000"/>
          <w:sz w:val="21"/>
        </w:rPr>
        <w:t xml:space="preserve"> due to insignificance. </w:t>
      </w:r>
    </w:p>
    <w:p w:rsidR="003838F7" w:rsidRDefault="003838F7" w:rsidP="00FC7D93">
      <w:pPr>
        <w:spacing w:after="0" w:line="240" w:lineRule="auto"/>
        <w:jc w:val="both"/>
        <w:rPr>
          <w:b/>
          <w:bCs/>
        </w:rPr>
      </w:pPr>
    </w:p>
    <w:p w:rsidR="00AF536D" w:rsidRPr="00AF536D" w:rsidRDefault="00AF536D" w:rsidP="00FC7D93">
      <w:pPr>
        <w:spacing w:after="0" w:line="240" w:lineRule="auto"/>
        <w:jc w:val="both"/>
        <w:rPr>
          <w:b/>
          <w:bCs/>
        </w:rPr>
      </w:pPr>
      <w:r w:rsidRPr="00AF536D">
        <w:rPr>
          <w:b/>
          <w:bCs/>
        </w:rPr>
        <w:t>10. Rework the downstream financing analysis, but keep it supportive rather than central</w:t>
      </w:r>
    </w:p>
    <w:p w:rsidR="00CB0735" w:rsidRDefault="0023461C">
      <w:pPr>
        <w:widowControl/>
        <w:spacing w:before="100" w:after="120" w:line="240" w:lineRule="auto"/>
      </w:pPr>
      <w:r>
        <w:rPr>
          <w:rFonts w:eastAsia="Times New Roman"/>
          <w:b/>
          <w:color w:val="000000"/>
          <w:sz w:val="21"/>
        </w:rPr>
        <w:t>Table A3</w:t>
      </w:r>
      <w:r w:rsidR="00CE6363">
        <w:rPr>
          <w:rFonts w:eastAsia="Times New Roman"/>
          <w:b/>
          <w:color w:val="000000"/>
          <w:sz w:val="21"/>
        </w:rPr>
        <w:t xml:space="preserve"> </w:t>
      </w:r>
      <w:r>
        <w:rPr>
          <w:rFonts w:eastAsia="Times New Roman"/>
          <w:color w:val="000000"/>
          <w:sz w:val="21"/>
        </w:rPr>
        <w:t>separate</w:t>
      </w:r>
      <w:r w:rsidR="00CE6363">
        <w:rPr>
          <w:rFonts w:eastAsia="Times New Roman"/>
          <w:color w:val="000000"/>
          <w:sz w:val="21"/>
        </w:rPr>
        <w:t>s</w:t>
      </w:r>
      <w:r>
        <w:rPr>
          <w:rFonts w:eastAsia="Times New Roman"/>
          <w:color w:val="000000"/>
          <w:sz w:val="21"/>
        </w:rPr>
        <w:t xml:space="preserve"> equity-raising probability </w:t>
      </w:r>
      <w:r w:rsidR="00CE6363">
        <w:rPr>
          <w:rFonts w:eastAsia="Times New Roman"/>
          <w:color w:val="000000"/>
          <w:sz w:val="21"/>
        </w:rPr>
        <w:t>using LPM</w:t>
      </w:r>
      <w:r>
        <w:rPr>
          <w:rFonts w:eastAsia="Times New Roman"/>
          <w:color w:val="000000"/>
          <w:sz w:val="21"/>
        </w:rPr>
        <w:t xml:space="preserve">, next-round hazard </w:t>
      </w:r>
      <w:r w:rsidR="00CE6363">
        <w:rPr>
          <w:rFonts w:eastAsia="Times New Roman"/>
          <w:color w:val="000000"/>
          <w:sz w:val="21"/>
        </w:rPr>
        <w:t>using cox hazard model</w:t>
      </w:r>
      <w:r>
        <w:rPr>
          <w:rFonts w:eastAsia="Times New Roman"/>
          <w:color w:val="000000"/>
          <w:sz w:val="21"/>
        </w:rPr>
        <w:t xml:space="preserve">, </w:t>
      </w:r>
      <w:r>
        <w:rPr>
          <w:rFonts w:eastAsia="Times New Roman"/>
          <w:color w:val="000000"/>
          <w:sz w:val="21"/>
        </w:rPr>
        <w:t xml:space="preserve">and next-round log amount conditional on raising. </w:t>
      </w:r>
    </w:p>
    <w:p w:rsidR="003838F7" w:rsidRDefault="003838F7" w:rsidP="00FC7D93">
      <w:pPr>
        <w:spacing w:after="0" w:line="240" w:lineRule="auto"/>
        <w:jc w:val="both"/>
        <w:rPr>
          <w:b/>
          <w:bCs/>
        </w:rPr>
      </w:pPr>
    </w:p>
    <w:p w:rsidR="00AF536D" w:rsidRPr="00AF536D" w:rsidRDefault="00AF536D" w:rsidP="00FC7D93">
      <w:pPr>
        <w:spacing w:after="0" w:line="240" w:lineRule="auto"/>
        <w:jc w:val="both"/>
        <w:rPr>
          <w:b/>
          <w:bCs/>
        </w:rPr>
      </w:pPr>
      <w:r w:rsidRPr="00AF536D">
        <w:rPr>
          <w:b/>
          <w:bCs/>
        </w:rPr>
        <w:t>11. Move employee and revenue analyses to the Appendix</w:t>
      </w:r>
    </w:p>
    <w:p w:rsidR="00CB0735" w:rsidRDefault="0023461C">
      <w:pPr>
        <w:widowControl/>
        <w:spacing w:before="100" w:after="120" w:line="240" w:lineRule="auto"/>
      </w:pPr>
      <w:r>
        <w:rPr>
          <w:rFonts w:eastAsia="Times New Roman"/>
          <w:b/>
          <w:color w:val="000000"/>
          <w:sz w:val="21"/>
        </w:rPr>
        <w:t>Tables A4–A6</w:t>
      </w:r>
      <w:r w:rsidR="00CE6363">
        <w:rPr>
          <w:rFonts w:eastAsia="Times New Roman"/>
          <w:b/>
          <w:color w:val="000000"/>
          <w:sz w:val="21"/>
        </w:rPr>
        <w:t xml:space="preserve"> </w:t>
      </w:r>
      <w:r>
        <w:rPr>
          <w:rFonts w:eastAsia="Times New Roman"/>
          <w:color w:val="000000"/>
          <w:sz w:val="21"/>
        </w:rPr>
        <w:t>place</w:t>
      </w:r>
      <w:r w:rsidR="00CE6363">
        <w:rPr>
          <w:rFonts w:eastAsia="Times New Roman"/>
          <w:color w:val="000000"/>
          <w:sz w:val="21"/>
        </w:rPr>
        <w:t>s</w:t>
      </w:r>
      <w:r>
        <w:rPr>
          <w:rFonts w:eastAsia="Times New Roman"/>
          <w:color w:val="000000"/>
          <w:sz w:val="21"/>
        </w:rPr>
        <w:t xml:space="preserve"> employee regressions and pooled/annual revenue comparisons in the Appendix. </w:t>
      </w:r>
    </w:p>
    <w:p w:rsidR="008B44FF" w:rsidRDefault="008B44FF" w:rsidP="00FC7D93">
      <w:pPr>
        <w:spacing w:after="0" w:line="240" w:lineRule="auto"/>
        <w:jc w:val="both"/>
        <w:rPr>
          <w:b/>
          <w:bCs/>
        </w:rPr>
      </w:pPr>
    </w:p>
    <w:p w:rsidR="00AF536D" w:rsidRPr="00AF536D" w:rsidRDefault="00AF536D" w:rsidP="00FC7D93">
      <w:pPr>
        <w:spacing w:after="0" w:line="240" w:lineRule="auto"/>
        <w:jc w:val="both"/>
        <w:rPr>
          <w:b/>
          <w:bCs/>
        </w:rPr>
      </w:pPr>
      <w:r w:rsidRPr="00AF536D">
        <w:rPr>
          <w:b/>
          <w:bCs/>
        </w:rPr>
        <w:t>12. Keep the interpretation of M&amp;A/IPO and downstream outcomes cautious</w:t>
      </w:r>
    </w:p>
    <w:p w:rsidR="00CB0735" w:rsidRDefault="0023461C">
      <w:pPr>
        <w:widowControl/>
        <w:spacing w:before="100" w:after="120" w:line="240" w:lineRule="auto"/>
      </w:pPr>
      <w:r>
        <w:rPr>
          <w:rFonts w:eastAsia="Times New Roman"/>
          <w:b/>
          <w:color w:val="000000"/>
          <w:sz w:val="21"/>
        </w:rPr>
        <w:t>Table 8</w:t>
      </w:r>
      <w:r>
        <w:rPr>
          <w:rFonts w:eastAsia="Times New Roman"/>
          <w:color w:val="000000"/>
          <w:sz w:val="21"/>
        </w:rPr>
        <w:t xml:space="preserve"> report</w:t>
      </w:r>
      <w:r w:rsidR="00CE6363">
        <w:rPr>
          <w:rFonts w:eastAsia="Times New Roman"/>
          <w:color w:val="000000"/>
          <w:sz w:val="21"/>
        </w:rPr>
        <w:t>s</w:t>
      </w:r>
      <w:r>
        <w:rPr>
          <w:rFonts w:eastAsia="Times New Roman"/>
          <w:color w:val="000000"/>
          <w:sz w:val="21"/>
        </w:rPr>
        <w:t xml:space="preserve"> separate Cox models for M&amp;A, IPO, and defunct outcomes</w:t>
      </w:r>
      <w:r>
        <w:rPr>
          <w:rFonts w:eastAsia="Times New Roman"/>
          <w:color w:val="000000"/>
          <w:sz w:val="21"/>
        </w:rPr>
        <w:t>.</w:t>
      </w:r>
    </w:p>
    <w:p w:rsidR="00606949" w:rsidRDefault="00606949" w:rsidP="00FC7D93">
      <w:pPr>
        <w:spacing w:after="0" w:line="240" w:lineRule="auto"/>
        <w:jc w:val="both"/>
        <w:rPr>
          <w:b/>
          <w:bCs/>
        </w:rPr>
      </w:pPr>
    </w:p>
    <w:p w:rsidR="003838F7" w:rsidRDefault="003838F7" w:rsidP="00FC7D93">
      <w:pPr>
        <w:spacing w:after="0" w:line="240" w:lineRule="auto"/>
        <w:jc w:val="both"/>
        <w:rPr>
          <w:b/>
          <w:bCs/>
        </w:rPr>
      </w:pPr>
    </w:p>
    <w:bookmarkEnd w:id="0"/>
    <w:p w:rsidR="002522DB" w:rsidRDefault="002522DB" w:rsidP="00FC7D93">
      <w:pPr>
        <w:spacing w:after="0" w:line="240" w:lineRule="auto"/>
        <w:jc w:val="both"/>
        <w:rPr>
          <w:b/>
          <w:bCs/>
        </w:rPr>
      </w:pPr>
    </w:p>
    <w:sectPr w:rsidR="002522DB" w:rsidSect="0059615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461C" w:rsidRDefault="0023461C" w:rsidP="00094453">
      <w:pPr>
        <w:spacing w:after="0" w:line="240" w:lineRule="auto"/>
      </w:pPr>
      <w:r>
        <w:separator/>
      </w:r>
    </w:p>
  </w:endnote>
  <w:endnote w:type="continuationSeparator" w:id="0">
    <w:p w:rsidR="0023461C" w:rsidRDefault="0023461C" w:rsidP="00094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461C" w:rsidRDefault="0023461C" w:rsidP="00094453">
      <w:pPr>
        <w:spacing w:after="0" w:line="240" w:lineRule="auto"/>
      </w:pPr>
      <w:r>
        <w:separator/>
      </w:r>
    </w:p>
  </w:footnote>
  <w:footnote w:type="continuationSeparator" w:id="0">
    <w:p w:rsidR="0023461C" w:rsidRDefault="0023461C" w:rsidP="00094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202BB"/>
    <w:multiLevelType w:val="multilevel"/>
    <w:tmpl w:val="E492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B162D"/>
    <w:multiLevelType w:val="multilevel"/>
    <w:tmpl w:val="D5C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5E03"/>
    <w:multiLevelType w:val="hybridMultilevel"/>
    <w:tmpl w:val="EA88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0074E"/>
    <w:multiLevelType w:val="multilevel"/>
    <w:tmpl w:val="EDC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B3F6F"/>
    <w:multiLevelType w:val="multilevel"/>
    <w:tmpl w:val="8D5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C00F7"/>
    <w:multiLevelType w:val="multilevel"/>
    <w:tmpl w:val="7BC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137CD"/>
    <w:multiLevelType w:val="multilevel"/>
    <w:tmpl w:val="E4C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C0AD6"/>
    <w:multiLevelType w:val="multilevel"/>
    <w:tmpl w:val="E7E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B76BC"/>
    <w:multiLevelType w:val="multilevel"/>
    <w:tmpl w:val="9B9E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A0C14"/>
    <w:multiLevelType w:val="multilevel"/>
    <w:tmpl w:val="929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D4D4A"/>
    <w:multiLevelType w:val="multilevel"/>
    <w:tmpl w:val="A030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7"/>
  </w:num>
  <w:num w:numId="4">
    <w:abstractNumId w:val="0"/>
  </w:num>
  <w:num w:numId="5">
    <w:abstractNumId w:val="3"/>
  </w:num>
  <w:num w:numId="6">
    <w:abstractNumId w:val="1"/>
  </w:num>
  <w:num w:numId="7">
    <w:abstractNumId w:val="4"/>
  </w:num>
  <w:num w:numId="8">
    <w:abstractNumId w:val="10"/>
  </w:num>
  <w:num w:numId="9">
    <w:abstractNumId w:val="5"/>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anagement Science&lt;/Style&gt;&lt;LeftDelim&gt;{&lt;/LeftDelim&gt;&lt;RightDelim&gt;}&lt;/RightDelim&gt;&lt;FontName&gt;Times New Roman&lt;/FontName&gt;&lt;FontSize&gt;11&lt;/FontSize&gt;&lt;ReflistTitle&gt;&lt;style face=&quot;bold&quot; charset=&quot;129&quot; size=&quot;12&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fpaxrpbrrf93e505jx20a6vapzewt05fdr&quot;&gt;My EndNote Library&lt;record-ids&gt;&lt;item&gt;215&lt;/item&gt;&lt;item&gt;1085&lt;/item&gt;&lt;item&gt;1086&lt;/item&gt;&lt;item&gt;1101&lt;/item&gt;&lt;item&gt;1102&lt;/item&gt;&lt;/record-ids&gt;&lt;/item&gt;&lt;/Libraries&gt;"/>
  </w:docVars>
  <w:rsids>
    <w:rsidRoot w:val="00AF536D"/>
    <w:rsid w:val="000152FB"/>
    <w:rsid w:val="00022E8F"/>
    <w:rsid w:val="000377F5"/>
    <w:rsid w:val="000729BC"/>
    <w:rsid w:val="000851B4"/>
    <w:rsid w:val="00094453"/>
    <w:rsid w:val="000D4D9D"/>
    <w:rsid w:val="00101F62"/>
    <w:rsid w:val="00126B85"/>
    <w:rsid w:val="00147877"/>
    <w:rsid w:val="00166C78"/>
    <w:rsid w:val="00171DC3"/>
    <w:rsid w:val="001A0A84"/>
    <w:rsid w:val="001D6820"/>
    <w:rsid w:val="001E767E"/>
    <w:rsid w:val="001F17F5"/>
    <w:rsid w:val="002048D6"/>
    <w:rsid w:val="0023461C"/>
    <w:rsid w:val="002450B6"/>
    <w:rsid w:val="002522DB"/>
    <w:rsid w:val="002640CB"/>
    <w:rsid w:val="002B532A"/>
    <w:rsid w:val="002D1A13"/>
    <w:rsid w:val="002D4EA9"/>
    <w:rsid w:val="002E0372"/>
    <w:rsid w:val="002E7283"/>
    <w:rsid w:val="002F41B8"/>
    <w:rsid w:val="003022BF"/>
    <w:rsid w:val="00346485"/>
    <w:rsid w:val="00362AEE"/>
    <w:rsid w:val="0037656A"/>
    <w:rsid w:val="003838F7"/>
    <w:rsid w:val="00392650"/>
    <w:rsid w:val="003A7F2B"/>
    <w:rsid w:val="003E7B54"/>
    <w:rsid w:val="003E7C30"/>
    <w:rsid w:val="00450243"/>
    <w:rsid w:val="004745EB"/>
    <w:rsid w:val="00483383"/>
    <w:rsid w:val="00485EFE"/>
    <w:rsid w:val="004A5669"/>
    <w:rsid w:val="004C1A20"/>
    <w:rsid w:val="004F0C9D"/>
    <w:rsid w:val="00516FB6"/>
    <w:rsid w:val="00520055"/>
    <w:rsid w:val="00520E4E"/>
    <w:rsid w:val="00554E47"/>
    <w:rsid w:val="0056517D"/>
    <w:rsid w:val="00567C5A"/>
    <w:rsid w:val="005734EC"/>
    <w:rsid w:val="005776DF"/>
    <w:rsid w:val="00582B7A"/>
    <w:rsid w:val="0059615B"/>
    <w:rsid w:val="005C147B"/>
    <w:rsid w:val="005F283F"/>
    <w:rsid w:val="00606949"/>
    <w:rsid w:val="0061557F"/>
    <w:rsid w:val="00655E9D"/>
    <w:rsid w:val="00676E87"/>
    <w:rsid w:val="006A2BC8"/>
    <w:rsid w:val="006A52DB"/>
    <w:rsid w:val="006B21DE"/>
    <w:rsid w:val="006C0001"/>
    <w:rsid w:val="006C33E4"/>
    <w:rsid w:val="006D76FE"/>
    <w:rsid w:val="006F2AF3"/>
    <w:rsid w:val="006F3FD6"/>
    <w:rsid w:val="00724059"/>
    <w:rsid w:val="00761618"/>
    <w:rsid w:val="007A1BAA"/>
    <w:rsid w:val="007A4B93"/>
    <w:rsid w:val="007A6C41"/>
    <w:rsid w:val="007B011B"/>
    <w:rsid w:val="007B7819"/>
    <w:rsid w:val="007F10F9"/>
    <w:rsid w:val="00833F45"/>
    <w:rsid w:val="008816D3"/>
    <w:rsid w:val="008B44FF"/>
    <w:rsid w:val="008E5B05"/>
    <w:rsid w:val="008F6841"/>
    <w:rsid w:val="00961FC4"/>
    <w:rsid w:val="00972965"/>
    <w:rsid w:val="00984E3E"/>
    <w:rsid w:val="009D702F"/>
    <w:rsid w:val="009F778A"/>
    <w:rsid w:val="00A1409E"/>
    <w:rsid w:val="00A3370E"/>
    <w:rsid w:val="00A46E36"/>
    <w:rsid w:val="00A63AAA"/>
    <w:rsid w:val="00A813DA"/>
    <w:rsid w:val="00A9296D"/>
    <w:rsid w:val="00AF536D"/>
    <w:rsid w:val="00B2162F"/>
    <w:rsid w:val="00B31012"/>
    <w:rsid w:val="00B73024"/>
    <w:rsid w:val="00B90D89"/>
    <w:rsid w:val="00BB312C"/>
    <w:rsid w:val="00BC2825"/>
    <w:rsid w:val="00BE3FAC"/>
    <w:rsid w:val="00C004D9"/>
    <w:rsid w:val="00C1724B"/>
    <w:rsid w:val="00C21955"/>
    <w:rsid w:val="00C22DEB"/>
    <w:rsid w:val="00C7166A"/>
    <w:rsid w:val="00C71F57"/>
    <w:rsid w:val="00C80985"/>
    <w:rsid w:val="00C84E38"/>
    <w:rsid w:val="00CB0735"/>
    <w:rsid w:val="00CE6363"/>
    <w:rsid w:val="00CF1D12"/>
    <w:rsid w:val="00CF74FC"/>
    <w:rsid w:val="00D053CA"/>
    <w:rsid w:val="00D25207"/>
    <w:rsid w:val="00D76AEF"/>
    <w:rsid w:val="00D97747"/>
    <w:rsid w:val="00DA5FB4"/>
    <w:rsid w:val="00DC232F"/>
    <w:rsid w:val="00DE5437"/>
    <w:rsid w:val="00E153E7"/>
    <w:rsid w:val="00E16C11"/>
    <w:rsid w:val="00E55F48"/>
    <w:rsid w:val="00E63C03"/>
    <w:rsid w:val="00E70424"/>
    <w:rsid w:val="00E951E5"/>
    <w:rsid w:val="00EA68D5"/>
    <w:rsid w:val="00EC29AB"/>
    <w:rsid w:val="00EC5A1A"/>
    <w:rsid w:val="00ED2C9D"/>
    <w:rsid w:val="00ED4F88"/>
    <w:rsid w:val="00F01731"/>
    <w:rsid w:val="00F47267"/>
    <w:rsid w:val="00F50156"/>
    <w:rsid w:val="00F51B87"/>
    <w:rsid w:val="00F822F2"/>
    <w:rsid w:val="00FA0A06"/>
    <w:rsid w:val="00FC7D9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65756"/>
  <w15:chartTrackingRefBased/>
  <w15:docId w15:val="{D373D24F-983D-49E9-9061-97355948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맑은 고딕" w:hAnsi="Times New Roman" w:cs="Times New Roman"/>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F5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F5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F53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AF53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AF536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AF53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AF536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AF536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AF536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
    <w:name w:val="EndNote Bibliography"/>
    <w:basedOn w:val="a"/>
    <w:link w:val="EndNoteBibliographyChar"/>
    <w:rsid w:val="00CF1D12"/>
    <w:pPr>
      <w:widowControl/>
      <w:wordWrap/>
      <w:autoSpaceDE/>
      <w:autoSpaceDN/>
      <w:spacing w:line="240" w:lineRule="auto"/>
      <w:jc w:val="both"/>
    </w:pPr>
    <w:rPr>
      <w:rFonts w:eastAsiaTheme="minorEastAsia"/>
      <w:noProof/>
    </w:rPr>
  </w:style>
  <w:style w:type="character" w:customStyle="1" w:styleId="EndNoteBibliographyChar">
    <w:name w:val="EndNote Bibliography Char"/>
    <w:basedOn w:val="a0"/>
    <w:link w:val="EndNoteBibliography"/>
    <w:rsid w:val="00CF1D12"/>
    <w:rPr>
      <w:rFonts w:eastAsiaTheme="minorEastAsia"/>
      <w:noProof/>
    </w:rPr>
  </w:style>
  <w:style w:type="character" w:customStyle="1" w:styleId="1Char">
    <w:name w:val="제목 1 Char"/>
    <w:basedOn w:val="a0"/>
    <w:link w:val="1"/>
    <w:uiPriority w:val="9"/>
    <w:rsid w:val="00AF536D"/>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AF536D"/>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AF536D"/>
    <w:rPr>
      <w:rFonts w:asciiTheme="minorHAnsi" w:eastAsiaTheme="majorEastAsia" w:hAnsiTheme="minorHAnsi" w:cstheme="majorBidi"/>
      <w:color w:val="0F4761" w:themeColor="accent1" w:themeShade="BF"/>
      <w:sz w:val="28"/>
      <w:szCs w:val="28"/>
    </w:rPr>
  </w:style>
  <w:style w:type="character" w:customStyle="1" w:styleId="4Char">
    <w:name w:val="제목 4 Char"/>
    <w:basedOn w:val="a0"/>
    <w:link w:val="4"/>
    <w:uiPriority w:val="9"/>
    <w:semiHidden/>
    <w:rsid w:val="00AF536D"/>
    <w:rPr>
      <w:rFonts w:asciiTheme="minorHAnsi" w:eastAsiaTheme="majorEastAsia" w:hAnsiTheme="minorHAnsi" w:cstheme="majorBidi"/>
      <w:i/>
      <w:iCs/>
      <w:color w:val="0F4761" w:themeColor="accent1" w:themeShade="BF"/>
    </w:rPr>
  </w:style>
  <w:style w:type="character" w:customStyle="1" w:styleId="5Char">
    <w:name w:val="제목 5 Char"/>
    <w:basedOn w:val="a0"/>
    <w:link w:val="5"/>
    <w:uiPriority w:val="9"/>
    <w:semiHidden/>
    <w:rsid w:val="00AF536D"/>
    <w:rPr>
      <w:rFonts w:asciiTheme="minorHAnsi" w:eastAsiaTheme="majorEastAsia" w:hAnsiTheme="minorHAnsi" w:cstheme="majorBidi"/>
      <w:color w:val="0F4761" w:themeColor="accent1" w:themeShade="BF"/>
    </w:rPr>
  </w:style>
  <w:style w:type="character" w:customStyle="1" w:styleId="6Char">
    <w:name w:val="제목 6 Char"/>
    <w:basedOn w:val="a0"/>
    <w:link w:val="6"/>
    <w:uiPriority w:val="9"/>
    <w:semiHidden/>
    <w:rsid w:val="00AF536D"/>
    <w:rPr>
      <w:rFonts w:asciiTheme="minorHAnsi" w:eastAsiaTheme="majorEastAsia" w:hAnsiTheme="minorHAnsi" w:cstheme="majorBidi"/>
      <w:i/>
      <w:iCs/>
      <w:color w:val="595959" w:themeColor="text1" w:themeTint="A6"/>
    </w:rPr>
  </w:style>
  <w:style w:type="character" w:customStyle="1" w:styleId="7Char">
    <w:name w:val="제목 7 Char"/>
    <w:basedOn w:val="a0"/>
    <w:link w:val="7"/>
    <w:uiPriority w:val="9"/>
    <w:semiHidden/>
    <w:rsid w:val="00AF536D"/>
    <w:rPr>
      <w:rFonts w:asciiTheme="minorHAnsi" w:eastAsiaTheme="majorEastAsia" w:hAnsiTheme="minorHAnsi" w:cstheme="majorBidi"/>
      <w:color w:val="595959" w:themeColor="text1" w:themeTint="A6"/>
    </w:rPr>
  </w:style>
  <w:style w:type="character" w:customStyle="1" w:styleId="8Char">
    <w:name w:val="제목 8 Char"/>
    <w:basedOn w:val="a0"/>
    <w:link w:val="8"/>
    <w:uiPriority w:val="9"/>
    <w:semiHidden/>
    <w:rsid w:val="00AF536D"/>
    <w:rPr>
      <w:rFonts w:asciiTheme="minorHAnsi" w:eastAsiaTheme="majorEastAsia" w:hAnsiTheme="minorHAnsi" w:cstheme="majorBidi"/>
      <w:i/>
      <w:iCs/>
      <w:color w:val="272727" w:themeColor="text1" w:themeTint="D8"/>
    </w:rPr>
  </w:style>
  <w:style w:type="character" w:customStyle="1" w:styleId="9Char">
    <w:name w:val="제목 9 Char"/>
    <w:basedOn w:val="a0"/>
    <w:link w:val="9"/>
    <w:uiPriority w:val="9"/>
    <w:semiHidden/>
    <w:rsid w:val="00AF536D"/>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AF5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F53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53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부제 Char"/>
    <w:basedOn w:val="a0"/>
    <w:link w:val="a4"/>
    <w:uiPriority w:val="11"/>
    <w:rsid w:val="00AF536D"/>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AF536D"/>
    <w:pPr>
      <w:spacing w:before="160"/>
      <w:jc w:val="center"/>
    </w:pPr>
    <w:rPr>
      <w:i/>
      <w:iCs/>
      <w:color w:val="404040" w:themeColor="text1" w:themeTint="BF"/>
    </w:rPr>
  </w:style>
  <w:style w:type="character" w:customStyle="1" w:styleId="Char1">
    <w:name w:val="인용 Char"/>
    <w:basedOn w:val="a0"/>
    <w:link w:val="a5"/>
    <w:uiPriority w:val="29"/>
    <w:rsid w:val="00AF536D"/>
    <w:rPr>
      <w:i/>
      <w:iCs/>
      <w:color w:val="404040" w:themeColor="text1" w:themeTint="BF"/>
    </w:rPr>
  </w:style>
  <w:style w:type="paragraph" w:styleId="a6">
    <w:name w:val="List Paragraph"/>
    <w:basedOn w:val="a"/>
    <w:uiPriority w:val="34"/>
    <w:qFormat/>
    <w:rsid w:val="00AF536D"/>
    <w:pPr>
      <w:ind w:left="720"/>
      <w:contextualSpacing/>
    </w:pPr>
  </w:style>
  <w:style w:type="character" w:styleId="a7">
    <w:name w:val="Intense Emphasis"/>
    <w:basedOn w:val="a0"/>
    <w:uiPriority w:val="21"/>
    <w:qFormat/>
    <w:rsid w:val="00AF536D"/>
    <w:rPr>
      <w:i/>
      <w:iCs/>
      <w:color w:val="0F4761" w:themeColor="accent1" w:themeShade="BF"/>
    </w:rPr>
  </w:style>
  <w:style w:type="paragraph" w:styleId="a8">
    <w:name w:val="Intense Quote"/>
    <w:basedOn w:val="a"/>
    <w:next w:val="a"/>
    <w:link w:val="Char2"/>
    <w:uiPriority w:val="30"/>
    <w:qFormat/>
    <w:rsid w:val="00AF5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F536D"/>
    <w:rPr>
      <w:i/>
      <w:iCs/>
      <w:color w:val="0F4761" w:themeColor="accent1" w:themeShade="BF"/>
    </w:rPr>
  </w:style>
  <w:style w:type="character" w:styleId="a9">
    <w:name w:val="Intense Reference"/>
    <w:basedOn w:val="a0"/>
    <w:uiPriority w:val="32"/>
    <w:qFormat/>
    <w:rsid w:val="00AF536D"/>
    <w:rPr>
      <w:b/>
      <w:bCs/>
      <w:smallCaps/>
      <w:color w:val="0F4761" w:themeColor="accent1" w:themeShade="BF"/>
      <w:spacing w:val="5"/>
    </w:rPr>
  </w:style>
  <w:style w:type="character" w:styleId="aa">
    <w:name w:val="Hyperlink"/>
    <w:basedOn w:val="a0"/>
    <w:uiPriority w:val="99"/>
    <w:unhideWhenUsed/>
    <w:rsid w:val="00AF536D"/>
    <w:rPr>
      <w:color w:val="467886" w:themeColor="hyperlink"/>
      <w:u w:val="single"/>
    </w:rPr>
  </w:style>
  <w:style w:type="character" w:styleId="ab">
    <w:name w:val="Unresolved Mention"/>
    <w:basedOn w:val="a0"/>
    <w:uiPriority w:val="99"/>
    <w:semiHidden/>
    <w:unhideWhenUsed/>
    <w:rsid w:val="00AF536D"/>
    <w:rPr>
      <w:color w:val="605E5C"/>
      <w:shd w:val="clear" w:color="auto" w:fill="E1DFDD"/>
    </w:rPr>
  </w:style>
  <w:style w:type="table" w:styleId="ac">
    <w:name w:val="Table Grid"/>
    <w:basedOn w:val="a1"/>
    <w:uiPriority w:val="39"/>
    <w:rsid w:val="003A7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BC2825"/>
    <w:pPr>
      <w:spacing w:after="0"/>
      <w:jc w:val="center"/>
    </w:pPr>
    <w:rPr>
      <w:noProof/>
    </w:rPr>
  </w:style>
  <w:style w:type="character" w:customStyle="1" w:styleId="EndNoteBibliographyTitleChar">
    <w:name w:val="EndNote Bibliography Title Char"/>
    <w:basedOn w:val="a0"/>
    <w:link w:val="EndNoteBibliographyTitle"/>
    <w:rsid w:val="00BC2825"/>
    <w:rPr>
      <w:noProof/>
    </w:rPr>
  </w:style>
  <w:style w:type="paragraph" w:styleId="ad">
    <w:name w:val="header"/>
    <w:basedOn w:val="a"/>
    <w:link w:val="Char3"/>
    <w:uiPriority w:val="99"/>
    <w:unhideWhenUsed/>
    <w:rsid w:val="00094453"/>
    <w:pPr>
      <w:tabs>
        <w:tab w:val="center" w:pos="4513"/>
        <w:tab w:val="right" w:pos="9026"/>
      </w:tabs>
      <w:snapToGrid w:val="0"/>
    </w:pPr>
  </w:style>
  <w:style w:type="character" w:customStyle="1" w:styleId="Char3">
    <w:name w:val="머리글 Char"/>
    <w:basedOn w:val="a0"/>
    <w:link w:val="ad"/>
    <w:uiPriority w:val="99"/>
    <w:rsid w:val="00094453"/>
  </w:style>
  <w:style w:type="paragraph" w:styleId="ae">
    <w:name w:val="footer"/>
    <w:basedOn w:val="a"/>
    <w:link w:val="Char4"/>
    <w:uiPriority w:val="99"/>
    <w:unhideWhenUsed/>
    <w:rsid w:val="00094453"/>
    <w:pPr>
      <w:tabs>
        <w:tab w:val="center" w:pos="4513"/>
        <w:tab w:val="right" w:pos="9026"/>
      </w:tabs>
      <w:snapToGrid w:val="0"/>
    </w:pPr>
  </w:style>
  <w:style w:type="character" w:customStyle="1" w:styleId="Char4">
    <w:name w:val="바닥글 Char"/>
    <w:basedOn w:val="a0"/>
    <w:link w:val="ae"/>
    <w:uiPriority w:val="99"/>
    <w:rsid w:val="00094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978363">
      <w:bodyDiv w:val="1"/>
      <w:marLeft w:val="0"/>
      <w:marRight w:val="0"/>
      <w:marTop w:val="0"/>
      <w:marBottom w:val="0"/>
      <w:divBdr>
        <w:top w:val="none" w:sz="0" w:space="0" w:color="auto"/>
        <w:left w:val="none" w:sz="0" w:space="0" w:color="auto"/>
        <w:bottom w:val="none" w:sz="0" w:space="0" w:color="auto"/>
        <w:right w:val="none" w:sz="0" w:space="0" w:color="auto"/>
      </w:divBdr>
      <w:divsChild>
        <w:div w:id="250899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927195">
      <w:bodyDiv w:val="1"/>
      <w:marLeft w:val="0"/>
      <w:marRight w:val="0"/>
      <w:marTop w:val="0"/>
      <w:marBottom w:val="0"/>
      <w:divBdr>
        <w:top w:val="none" w:sz="0" w:space="0" w:color="auto"/>
        <w:left w:val="none" w:sz="0" w:space="0" w:color="auto"/>
        <w:bottom w:val="none" w:sz="0" w:space="0" w:color="auto"/>
        <w:right w:val="none" w:sz="0" w:space="0" w:color="auto"/>
      </w:divBdr>
      <w:divsChild>
        <w:div w:id="2054227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798270">
      <w:bodyDiv w:val="1"/>
      <w:marLeft w:val="0"/>
      <w:marRight w:val="0"/>
      <w:marTop w:val="0"/>
      <w:marBottom w:val="0"/>
      <w:divBdr>
        <w:top w:val="none" w:sz="0" w:space="0" w:color="auto"/>
        <w:left w:val="none" w:sz="0" w:space="0" w:color="auto"/>
        <w:bottom w:val="none" w:sz="0" w:space="0" w:color="auto"/>
        <w:right w:val="none" w:sz="0" w:space="0" w:color="auto"/>
      </w:divBdr>
      <w:divsChild>
        <w:div w:id="1117605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23412">
      <w:bodyDiv w:val="1"/>
      <w:marLeft w:val="0"/>
      <w:marRight w:val="0"/>
      <w:marTop w:val="0"/>
      <w:marBottom w:val="0"/>
      <w:divBdr>
        <w:top w:val="none" w:sz="0" w:space="0" w:color="auto"/>
        <w:left w:val="none" w:sz="0" w:space="0" w:color="auto"/>
        <w:bottom w:val="none" w:sz="0" w:space="0" w:color="auto"/>
        <w:right w:val="none" w:sz="0" w:space="0" w:color="auto"/>
      </w:divBdr>
    </w:div>
    <w:div w:id="796875486">
      <w:bodyDiv w:val="1"/>
      <w:marLeft w:val="0"/>
      <w:marRight w:val="0"/>
      <w:marTop w:val="0"/>
      <w:marBottom w:val="0"/>
      <w:divBdr>
        <w:top w:val="none" w:sz="0" w:space="0" w:color="auto"/>
        <w:left w:val="none" w:sz="0" w:space="0" w:color="auto"/>
        <w:bottom w:val="none" w:sz="0" w:space="0" w:color="auto"/>
        <w:right w:val="none" w:sz="0" w:space="0" w:color="auto"/>
      </w:divBdr>
      <w:divsChild>
        <w:div w:id="1385836048">
          <w:blockQuote w:val="1"/>
          <w:marLeft w:val="720"/>
          <w:marRight w:val="720"/>
          <w:marTop w:val="100"/>
          <w:marBottom w:val="100"/>
          <w:divBdr>
            <w:top w:val="none" w:sz="0" w:space="0" w:color="auto"/>
            <w:left w:val="none" w:sz="0" w:space="0" w:color="auto"/>
            <w:bottom w:val="none" w:sz="0" w:space="0" w:color="auto"/>
            <w:right w:val="none" w:sz="0" w:space="0" w:color="auto"/>
          </w:divBdr>
        </w:div>
        <w:div w:id="69037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3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575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47752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9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10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113676">
          <w:blockQuote w:val="1"/>
          <w:marLeft w:val="720"/>
          <w:marRight w:val="720"/>
          <w:marTop w:val="100"/>
          <w:marBottom w:val="100"/>
          <w:divBdr>
            <w:top w:val="none" w:sz="0" w:space="0" w:color="auto"/>
            <w:left w:val="none" w:sz="0" w:space="0" w:color="auto"/>
            <w:bottom w:val="none" w:sz="0" w:space="0" w:color="auto"/>
            <w:right w:val="none" w:sz="0" w:space="0" w:color="auto"/>
          </w:divBdr>
        </w:div>
        <w:div w:id="41027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72444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43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70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512033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79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18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85068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32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6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101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62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773256">
      <w:bodyDiv w:val="1"/>
      <w:marLeft w:val="0"/>
      <w:marRight w:val="0"/>
      <w:marTop w:val="0"/>
      <w:marBottom w:val="0"/>
      <w:divBdr>
        <w:top w:val="none" w:sz="0" w:space="0" w:color="auto"/>
        <w:left w:val="none" w:sz="0" w:space="0" w:color="auto"/>
        <w:bottom w:val="none" w:sz="0" w:space="0" w:color="auto"/>
        <w:right w:val="none" w:sz="0" w:space="0" w:color="auto"/>
      </w:divBdr>
      <w:divsChild>
        <w:div w:id="581791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889221">
      <w:bodyDiv w:val="1"/>
      <w:marLeft w:val="0"/>
      <w:marRight w:val="0"/>
      <w:marTop w:val="0"/>
      <w:marBottom w:val="0"/>
      <w:divBdr>
        <w:top w:val="none" w:sz="0" w:space="0" w:color="auto"/>
        <w:left w:val="none" w:sz="0" w:space="0" w:color="auto"/>
        <w:bottom w:val="none" w:sz="0" w:space="0" w:color="auto"/>
        <w:right w:val="none" w:sz="0" w:space="0" w:color="auto"/>
      </w:divBdr>
    </w:div>
    <w:div w:id="1143233255">
      <w:bodyDiv w:val="1"/>
      <w:marLeft w:val="0"/>
      <w:marRight w:val="0"/>
      <w:marTop w:val="0"/>
      <w:marBottom w:val="0"/>
      <w:divBdr>
        <w:top w:val="none" w:sz="0" w:space="0" w:color="auto"/>
        <w:left w:val="none" w:sz="0" w:space="0" w:color="auto"/>
        <w:bottom w:val="none" w:sz="0" w:space="0" w:color="auto"/>
        <w:right w:val="none" w:sz="0" w:space="0" w:color="auto"/>
      </w:divBdr>
    </w:div>
    <w:div w:id="1237470730">
      <w:bodyDiv w:val="1"/>
      <w:marLeft w:val="0"/>
      <w:marRight w:val="0"/>
      <w:marTop w:val="0"/>
      <w:marBottom w:val="0"/>
      <w:divBdr>
        <w:top w:val="none" w:sz="0" w:space="0" w:color="auto"/>
        <w:left w:val="none" w:sz="0" w:space="0" w:color="auto"/>
        <w:bottom w:val="none" w:sz="0" w:space="0" w:color="auto"/>
        <w:right w:val="none" w:sz="0" w:space="0" w:color="auto"/>
      </w:divBdr>
    </w:div>
    <w:div w:id="1265116528">
      <w:bodyDiv w:val="1"/>
      <w:marLeft w:val="0"/>
      <w:marRight w:val="0"/>
      <w:marTop w:val="0"/>
      <w:marBottom w:val="0"/>
      <w:divBdr>
        <w:top w:val="none" w:sz="0" w:space="0" w:color="auto"/>
        <w:left w:val="none" w:sz="0" w:space="0" w:color="auto"/>
        <w:bottom w:val="none" w:sz="0" w:space="0" w:color="auto"/>
        <w:right w:val="none" w:sz="0" w:space="0" w:color="auto"/>
      </w:divBdr>
    </w:div>
    <w:div w:id="1804302242">
      <w:bodyDiv w:val="1"/>
      <w:marLeft w:val="0"/>
      <w:marRight w:val="0"/>
      <w:marTop w:val="0"/>
      <w:marBottom w:val="0"/>
      <w:divBdr>
        <w:top w:val="none" w:sz="0" w:space="0" w:color="auto"/>
        <w:left w:val="none" w:sz="0" w:space="0" w:color="auto"/>
        <w:bottom w:val="none" w:sz="0" w:space="0" w:color="auto"/>
        <w:right w:val="none" w:sz="0" w:space="0" w:color="auto"/>
      </w:divBdr>
    </w:div>
    <w:div w:id="2146846315">
      <w:bodyDiv w:val="1"/>
      <w:marLeft w:val="0"/>
      <w:marRight w:val="0"/>
      <w:marTop w:val="0"/>
      <w:marBottom w:val="0"/>
      <w:divBdr>
        <w:top w:val="none" w:sz="0" w:space="0" w:color="auto"/>
        <w:left w:val="none" w:sz="0" w:space="0" w:color="auto"/>
        <w:bottom w:val="none" w:sz="0" w:space="0" w:color="auto"/>
        <w:right w:val="none" w:sz="0" w:space="0" w:color="auto"/>
      </w:divBdr>
      <w:divsChild>
        <w:div w:id="98508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30081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55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71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89007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3791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32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534971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22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51256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20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5494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300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701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03733">
          <w:blockQuote w:val="1"/>
          <w:marLeft w:val="720"/>
          <w:marRight w:val="720"/>
          <w:marTop w:val="100"/>
          <w:marBottom w:val="100"/>
          <w:divBdr>
            <w:top w:val="none" w:sz="0" w:space="0" w:color="auto"/>
            <w:left w:val="none" w:sz="0" w:space="0" w:color="auto"/>
            <w:bottom w:val="none" w:sz="0" w:space="0" w:color="auto"/>
            <w:right w:val="none" w:sz="0" w:space="0" w:color="auto"/>
          </w:divBdr>
        </w:div>
        <w:div w:id="96554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10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9011">
          <w:blockQuote w:val="1"/>
          <w:marLeft w:val="720"/>
          <w:marRight w:val="720"/>
          <w:marTop w:val="100"/>
          <w:marBottom w:val="100"/>
          <w:divBdr>
            <w:top w:val="none" w:sz="0" w:space="0" w:color="auto"/>
            <w:left w:val="none" w:sz="0" w:space="0" w:color="auto"/>
            <w:bottom w:val="none" w:sz="0" w:space="0" w:color="auto"/>
            <w:right w:val="none" w:sz="0" w:space="0" w:color="auto"/>
          </w:divBdr>
        </w:div>
        <w:div w:id="580795524">
          <w:blockQuote w:val="1"/>
          <w:marLeft w:val="720"/>
          <w:marRight w:val="720"/>
          <w:marTop w:val="100"/>
          <w:marBottom w:val="100"/>
          <w:divBdr>
            <w:top w:val="none" w:sz="0" w:space="0" w:color="auto"/>
            <w:left w:val="none" w:sz="0" w:space="0" w:color="auto"/>
            <w:bottom w:val="none" w:sz="0" w:space="0" w:color="auto"/>
            <w:right w:val="none" w:sz="0" w:space="0" w:color="auto"/>
          </w:divBdr>
        </w:div>
        <w:div w:id="640421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659</Words>
  <Characters>3760</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Yongwook Paik</dc:creator>
  <cp:keywords/>
  <dc:description/>
  <cp:lastModifiedBy>이민아</cp:lastModifiedBy>
  <cp:revision>7</cp:revision>
  <dcterms:created xsi:type="dcterms:W3CDTF">2026-10-20T09:56:00Z</dcterms:created>
  <dcterms:modified xsi:type="dcterms:W3CDTF">2026-10-20T10:42:00Z</dcterms:modified>
</cp:coreProperties>
</file>