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26"/>
        </w:rPr>
        <w:t>Table 2. Staggered DiD Estimates on Forward Citations</w:t>
      </w:r>
    </w:p>
    <w:p>
      <w:pPr>
        <w:jc w:val="center"/>
      </w:pPr>
      <w:r>
        <w:rPr>
          <w:i/>
          <w:sz w:val="18"/>
        </w:rPr>
        <w:t>Dependent variable: Mean filing-year-adjusted forward citations per granted patent application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1800"/>
        <w:gridCol w:w="1800"/>
        <w:gridCol w:w="1800"/>
        <w:gridCol w:w="1800"/>
        <w:gridCol w:w="1800"/>
      </w:tblGrid>
      <w:tr>
        <w:tc>
          <w:tcPr>
            <w:tcW w:type="dxa" w:w="2494"/>
            <w:shd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</w:rPr>
            </w:r>
          </w:p>
        </w:tc>
        <w:tc>
          <w:tcPr>
            <w:tcW w:type="dxa" w:w="2494"/>
            <w:shd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</w:rPr>
              <w:t>(1)</w:t>
              <w:br/>
              <w:t>All firms</w:t>
            </w:r>
          </w:p>
        </w:tc>
        <w:tc>
          <w:tcPr>
            <w:tcW w:type="dxa" w:w="2494"/>
            <w:shd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</w:rPr>
              <w:t>(2)</w:t>
              <w:br/>
              <w:t>No prior patent</w:t>
            </w:r>
          </w:p>
        </w:tc>
        <w:tc>
          <w:tcPr>
            <w:tcW w:type="dxa" w:w="2494"/>
            <w:shd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</w:rPr>
              <w:t>(3)</w:t>
              <w:br/>
              <w:t>Prior patent</w:t>
            </w:r>
          </w:p>
        </w:tc>
        <w:tc>
          <w:tcPr>
            <w:tcW w:type="dxa" w:w="2494"/>
            <w:shd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</w:rPr>
              <w:t>(4)</w:t>
              <w:br/>
              <w:t>Early stage</w:t>
            </w:r>
          </w:p>
        </w:tc>
        <w:tc>
          <w:tcPr>
            <w:tcW w:type="dxa" w:w="2494"/>
            <w:shd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</w:rPr>
              <w:t>(5)</w:t>
              <w:br/>
              <w:t>Late stage</w:t>
            </w:r>
          </w:p>
        </w:tc>
      </w:tr>
      <w:tr>
        <w:tc>
          <w:tcPr>
            <w:tcW w:type="dxa" w:w="309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i w:val="0"/>
                <w:sz w:val="17"/>
              </w:rPr>
              <w:t>Simple ATT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rPr>
                <w:i w:val="0"/>
                <w:sz w:val="17"/>
              </w:rPr>
              <w:t>-0.003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rPr>
                <w:i w:val="0"/>
                <w:sz w:val="17"/>
              </w:rPr>
              <w:t>0.024***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rPr>
                <w:i w:val="0"/>
                <w:sz w:val="17"/>
              </w:rPr>
              <w:t>-0.344**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rPr>
                <w:i w:val="0"/>
                <w:sz w:val="17"/>
              </w:rPr>
              <w:t>-0.056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rPr>
                <w:i w:val="0"/>
                <w:sz w:val="17"/>
              </w:rPr>
              <w:t>0.005</w:t>
            </w:r>
          </w:p>
        </w:tc>
      </w:tr>
      <w:tr>
        <w:tc>
          <w:tcPr>
            <w:tcW w:type="dxa" w:w="3096"/>
            <w:vAlign w:val="center"/>
            <w:shd w:fill="F5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i/>
                <w:sz w:val="17"/>
              </w:rPr>
            </w:r>
          </w:p>
        </w:tc>
        <w:tc>
          <w:tcPr>
            <w:tcW w:type="dxa" w:w="1800"/>
            <w:vAlign w:val="center"/>
            <w:shd w:fill="F5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rPr>
                <w:i/>
                <w:sz w:val="17"/>
              </w:rPr>
              <w:t>(0.013)</w:t>
            </w:r>
          </w:p>
        </w:tc>
        <w:tc>
          <w:tcPr>
            <w:tcW w:type="dxa" w:w="1800"/>
            <w:vAlign w:val="center"/>
            <w:shd w:fill="F5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rPr>
                <w:i/>
                <w:sz w:val="17"/>
              </w:rPr>
              <w:t>(0.006)</w:t>
            </w:r>
          </w:p>
        </w:tc>
        <w:tc>
          <w:tcPr>
            <w:tcW w:type="dxa" w:w="1800"/>
            <w:vAlign w:val="center"/>
            <w:shd w:fill="F5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rPr>
                <w:i/>
                <w:sz w:val="17"/>
              </w:rPr>
              <w:t>(0.147)</w:t>
            </w:r>
          </w:p>
        </w:tc>
        <w:tc>
          <w:tcPr>
            <w:tcW w:type="dxa" w:w="1800"/>
            <w:vAlign w:val="center"/>
            <w:shd w:fill="F5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rPr>
                <w:i/>
                <w:sz w:val="17"/>
              </w:rPr>
              <w:t>(0.061)</w:t>
            </w:r>
          </w:p>
        </w:tc>
        <w:tc>
          <w:tcPr>
            <w:tcW w:type="dxa" w:w="1800"/>
            <w:vAlign w:val="center"/>
            <w:shd w:fill="F5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rPr>
                <w:i/>
                <w:sz w:val="17"/>
              </w:rPr>
              <w:t>(0.008)</w:t>
            </w:r>
          </w:p>
        </w:tc>
      </w:tr>
      <w:tr>
        <w:tc>
          <w:tcPr>
            <w:tcW w:type="dxa" w:w="309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i w:val="0"/>
                <w:sz w:val="17"/>
              </w:rPr>
              <w:t>Aggregated event-study ATT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rPr>
                <w:i w:val="0"/>
                <w:sz w:val="17"/>
              </w:rPr>
              <w:t>-0.005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rPr>
                <w:i w:val="0"/>
                <w:sz w:val="17"/>
              </w:rPr>
              <w:t>0.016***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rPr>
                <w:i w:val="0"/>
                <w:sz w:val="17"/>
              </w:rPr>
              <w:t>-0.245*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rPr>
                <w:i w:val="0"/>
                <w:sz w:val="17"/>
              </w:rPr>
              <w:t>-0.084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rPr>
                <w:i w:val="0"/>
                <w:sz w:val="17"/>
              </w:rPr>
              <w:t>0.005</w:t>
            </w:r>
          </w:p>
        </w:tc>
      </w:tr>
      <w:tr>
        <w:tc>
          <w:tcPr>
            <w:tcW w:type="dxa" w:w="3096"/>
            <w:vAlign w:val="center"/>
            <w:shd w:fill="F5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i/>
                <w:sz w:val="17"/>
              </w:rPr>
            </w:r>
          </w:p>
        </w:tc>
        <w:tc>
          <w:tcPr>
            <w:tcW w:type="dxa" w:w="1800"/>
            <w:vAlign w:val="center"/>
            <w:shd w:fill="F5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rPr>
                <w:i/>
                <w:sz w:val="17"/>
              </w:rPr>
              <w:t>(0.013)</w:t>
            </w:r>
          </w:p>
        </w:tc>
        <w:tc>
          <w:tcPr>
            <w:tcW w:type="dxa" w:w="1800"/>
            <w:vAlign w:val="center"/>
            <w:shd w:fill="F5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rPr>
                <w:i/>
                <w:sz w:val="17"/>
              </w:rPr>
              <w:t>(0.003)</w:t>
            </w:r>
          </w:p>
        </w:tc>
        <w:tc>
          <w:tcPr>
            <w:tcW w:type="dxa" w:w="1800"/>
            <w:vAlign w:val="center"/>
            <w:shd w:fill="F5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rPr>
                <w:i/>
                <w:sz w:val="17"/>
              </w:rPr>
              <w:t>(0.135)</w:t>
            </w:r>
          </w:p>
        </w:tc>
        <w:tc>
          <w:tcPr>
            <w:tcW w:type="dxa" w:w="1800"/>
            <w:vAlign w:val="center"/>
            <w:shd w:fill="F5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rPr>
                <w:i/>
                <w:sz w:val="17"/>
              </w:rPr>
              <w:t>(0.070)</w:t>
            </w:r>
          </w:p>
        </w:tc>
        <w:tc>
          <w:tcPr>
            <w:tcW w:type="dxa" w:w="1800"/>
            <w:vAlign w:val="center"/>
            <w:shd w:fill="F5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rPr>
                <w:i/>
                <w:sz w:val="17"/>
              </w:rPr>
              <w:t>(0.008)</w:t>
            </w:r>
          </w:p>
        </w:tc>
      </w:tr>
      <w:tr>
        <w:tc>
          <w:tcPr>
            <w:tcW w:type="dxa" w:w="309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i w:val="0"/>
                <w:sz w:val="17"/>
              </w:rPr>
              <w:t>Controls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rPr>
                <w:i w:val="0"/>
                <w:sz w:val="17"/>
              </w:rPr>
              <w:t>Yes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rPr>
                <w:i w:val="0"/>
                <w:sz w:val="17"/>
              </w:rPr>
              <w:t>Yes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rPr>
                <w:i w:val="0"/>
                <w:sz w:val="17"/>
              </w:rPr>
              <w:t>Yes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rPr>
                <w:i w:val="0"/>
                <w:sz w:val="17"/>
              </w:rPr>
              <w:t>Yes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rPr>
                <w:i w:val="0"/>
                <w:sz w:val="17"/>
              </w:rPr>
              <w:t>Yes</w:t>
            </w:r>
          </w:p>
        </w:tc>
      </w:tr>
      <w:tr>
        <w:tc>
          <w:tcPr>
            <w:tcW w:type="dxa" w:w="3096"/>
            <w:vAlign w:val="center"/>
            <w:shd w:fill="F5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i w:val="0"/>
                <w:sz w:val="17"/>
              </w:rPr>
              <w:t>Region FE</w:t>
            </w:r>
          </w:p>
        </w:tc>
        <w:tc>
          <w:tcPr>
            <w:tcW w:type="dxa" w:w="1800"/>
            <w:vAlign w:val="center"/>
            <w:shd w:fill="F5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rPr>
                <w:i w:val="0"/>
                <w:sz w:val="17"/>
              </w:rPr>
              <w:t>Yes</w:t>
            </w:r>
          </w:p>
        </w:tc>
        <w:tc>
          <w:tcPr>
            <w:tcW w:type="dxa" w:w="1800"/>
            <w:vAlign w:val="center"/>
            <w:shd w:fill="F5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rPr>
                <w:i w:val="0"/>
                <w:sz w:val="17"/>
              </w:rPr>
              <w:t>Yes</w:t>
            </w:r>
          </w:p>
        </w:tc>
        <w:tc>
          <w:tcPr>
            <w:tcW w:type="dxa" w:w="1800"/>
            <w:vAlign w:val="center"/>
            <w:shd w:fill="F5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rPr>
                <w:i w:val="0"/>
                <w:sz w:val="17"/>
              </w:rPr>
              <w:t>Yes</w:t>
            </w:r>
          </w:p>
        </w:tc>
        <w:tc>
          <w:tcPr>
            <w:tcW w:type="dxa" w:w="1800"/>
            <w:vAlign w:val="center"/>
            <w:shd w:fill="F5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rPr>
                <w:i w:val="0"/>
                <w:sz w:val="17"/>
              </w:rPr>
              <w:t>Yes</w:t>
            </w:r>
          </w:p>
        </w:tc>
        <w:tc>
          <w:tcPr>
            <w:tcW w:type="dxa" w:w="1800"/>
            <w:vAlign w:val="center"/>
            <w:shd w:fill="F5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rPr>
                <w:i w:val="0"/>
                <w:sz w:val="17"/>
              </w:rPr>
              <w:t>Yes</w:t>
            </w:r>
          </w:p>
        </w:tc>
      </w:tr>
      <w:tr>
        <w:tc>
          <w:tcPr>
            <w:tcW w:type="dxa" w:w="309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i w:val="0"/>
                <w:sz w:val="17"/>
              </w:rPr>
              <w:t>Industry FE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rPr>
                <w:i w:val="0"/>
                <w:sz w:val="17"/>
              </w:rPr>
              <w:t>Yes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rPr>
                <w:i w:val="0"/>
                <w:sz w:val="17"/>
              </w:rPr>
              <w:t>Yes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rPr>
                <w:i w:val="0"/>
                <w:sz w:val="17"/>
              </w:rPr>
              <w:t>Yes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rPr>
                <w:i w:val="0"/>
                <w:sz w:val="17"/>
              </w:rPr>
              <w:t>Yes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rPr>
                <w:i w:val="0"/>
                <w:sz w:val="17"/>
              </w:rPr>
              <w:t>Yes</w:t>
            </w:r>
          </w:p>
        </w:tc>
      </w:tr>
      <w:tr>
        <w:tc>
          <w:tcPr>
            <w:tcW w:type="dxa" w:w="3096"/>
            <w:vAlign w:val="center"/>
            <w:shd w:fill="F5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i w:val="0"/>
                <w:sz w:val="17"/>
              </w:rPr>
              <w:t>Comparison group</w:t>
            </w:r>
          </w:p>
        </w:tc>
        <w:tc>
          <w:tcPr>
            <w:tcW w:type="dxa" w:w="1800"/>
            <w:vAlign w:val="center"/>
            <w:shd w:fill="F5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rPr>
                <w:i w:val="0"/>
                <w:sz w:val="17"/>
              </w:rPr>
              <w:t>Never treated</w:t>
            </w:r>
          </w:p>
        </w:tc>
        <w:tc>
          <w:tcPr>
            <w:tcW w:type="dxa" w:w="1800"/>
            <w:vAlign w:val="center"/>
            <w:shd w:fill="F5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rPr>
                <w:i w:val="0"/>
                <w:sz w:val="17"/>
              </w:rPr>
              <w:t>Never treated</w:t>
            </w:r>
          </w:p>
        </w:tc>
        <w:tc>
          <w:tcPr>
            <w:tcW w:type="dxa" w:w="1800"/>
            <w:vAlign w:val="center"/>
            <w:shd w:fill="F5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rPr>
                <w:i w:val="0"/>
                <w:sz w:val="17"/>
              </w:rPr>
              <w:t>Never treated</w:t>
            </w:r>
          </w:p>
        </w:tc>
        <w:tc>
          <w:tcPr>
            <w:tcW w:type="dxa" w:w="1800"/>
            <w:vAlign w:val="center"/>
            <w:shd w:fill="F5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rPr>
                <w:i w:val="0"/>
                <w:sz w:val="17"/>
              </w:rPr>
              <w:t>Never treated</w:t>
            </w:r>
          </w:p>
        </w:tc>
        <w:tc>
          <w:tcPr>
            <w:tcW w:type="dxa" w:w="1800"/>
            <w:vAlign w:val="center"/>
            <w:shd w:fill="F5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rPr>
                <w:i w:val="0"/>
                <w:sz w:val="17"/>
              </w:rPr>
              <w:t>Never treated</w:t>
            </w:r>
          </w:p>
        </w:tc>
      </w:tr>
      <w:tr>
        <w:tc>
          <w:tcPr>
            <w:tcW w:type="dxa" w:w="309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i w:val="0"/>
                <w:sz w:val="17"/>
              </w:rPr>
              <w:t>Observations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rPr>
                <w:i w:val="0"/>
                <w:sz w:val="17"/>
              </w:rPr>
              <w:t>88,550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rPr>
                <w:i w:val="0"/>
                <w:sz w:val="17"/>
              </w:rPr>
              <w:t>87,036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rPr>
                <w:i w:val="0"/>
                <w:sz w:val="17"/>
              </w:rPr>
              <w:t>72,496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rPr>
                <w:i w:val="0"/>
                <w:sz w:val="17"/>
              </w:rPr>
              <w:t>72,902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rPr>
                <w:i w:val="0"/>
                <w:sz w:val="17"/>
              </w:rPr>
              <w:t>86,630</w:t>
            </w:r>
          </w:p>
        </w:tc>
      </w:tr>
      <w:tr>
        <w:tc>
          <w:tcPr>
            <w:tcW w:type="dxa" w:w="3096"/>
            <w:vAlign w:val="center"/>
            <w:shd w:fill="F5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i w:val="0"/>
                <w:sz w:val="17"/>
              </w:rPr>
              <w:t>Firms</w:t>
            </w:r>
          </w:p>
        </w:tc>
        <w:tc>
          <w:tcPr>
            <w:tcW w:type="dxa" w:w="1800"/>
            <w:vAlign w:val="center"/>
            <w:shd w:fill="F5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rPr>
                <w:i w:val="0"/>
                <w:sz w:val="17"/>
              </w:rPr>
              <w:t>7,273</w:t>
            </w:r>
          </w:p>
        </w:tc>
        <w:tc>
          <w:tcPr>
            <w:tcW w:type="dxa" w:w="1800"/>
            <w:vAlign w:val="center"/>
            <w:shd w:fill="F5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rPr>
                <w:i w:val="0"/>
                <w:sz w:val="17"/>
              </w:rPr>
              <w:t>7,157</w:t>
            </w:r>
          </w:p>
        </w:tc>
        <w:tc>
          <w:tcPr>
            <w:tcW w:type="dxa" w:w="1800"/>
            <w:vAlign w:val="center"/>
            <w:shd w:fill="F5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rPr>
                <w:i w:val="0"/>
                <w:sz w:val="17"/>
              </w:rPr>
              <w:t>5,992</w:t>
            </w:r>
          </w:p>
        </w:tc>
        <w:tc>
          <w:tcPr>
            <w:tcW w:type="dxa" w:w="1800"/>
            <w:vAlign w:val="center"/>
            <w:shd w:fill="F5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rPr>
                <w:i w:val="0"/>
                <w:sz w:val="17"/>
              </w:rPr>
              <w:t>6,031</w:t>
            </w:r>
          </w:p>
        </w:tc>
        <w:tc>
          <w:tcPr>
            <w:tcW w:type="dxa" w:w="1800"/>
            <w:vAlign w:val="center"/>
            <w:shd w:fill="F5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rPr>
                <w:i w:val="0"/>
                <w:sz w:val="17"/>
              </w:rPr>
              <w:t>7,118</w:t>
            </w:r>
          </w:p>
        </w:tc>
      </w:tr>
    </w:tbl>
    <w:p>
      <w:pPr>
        <w:spacing w:before="120" w:line="240" w:lineRule="auto"/>
      </w:pPr>
      <w:r>
        <w:rPr>
          <w:b/>
        </w:rPr>
        <w:t xml:space="preserve">Note: </w:t>
      </w:r>
      <w:r>
        <w:t>Forward citations are counted through 2024 at the granted patent-application level. Following the supplied paper's truncation-adjustment logic, raw citations are divided by the mean citation count of applications filed in the same year. CPC/technology-class cells are intentionally not used. Firm-year outcomes are the mean adjusted citations of ultimately granted applications filed in that year, with zero in firm-years without such applications. Estimation uses Callaway-Sant'Anna doubly robust staggered DiD, never-treated controls, the Table 1 controls and fixed effects, and firm bootstrap standard errors (49 replications). The aggregated event-study ATT averages event times 0 through 4. Standard errors are in parentheses. *, **, and *** denote significance at the 10%, 5%, and 1% levels.</w:t>
      </w:r>
    </w:p>
    <w:p>
      <w:pPr>
        <w:spacing w:before="80"/>
      </w:pPr>
      <w:r>
        <w:rPr>
          <w:b/>
        </w:rPr>
        <w:t xml:space="preserve">Data note: </w:t>
      </w:r>
      <w:r>
        <w:t>Of 6,319 grant-linked applications, 5,801 retain a recovered citation value from the prior 2024 snapshot. The remaining 518 have no recovered citation-link row and are coded as zero under the citation-table left-join convention. The accompanying application-level file preserves an indicator for this distinction.</w:t>
      </w:r>
    </w:p>
    <w:sectPr w:rsidR="00FC693F" w:rsidRPr="0006063C" w:rsidSect="00034616">
      <w:pgSz w:w="16834" w:h="11909" w:orient="landscape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