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B2B Demand Generation Manager | Demand Generation | B2B Marketing | Pipeline Growth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Combines strong European B2B execution with native Mandarin fluency and proven success leading APAC/China go-to-market strategies for global manufacturing and industrial leaders.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