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Senior Marketing Manager | B2B Marketing Leadership | Demand Generation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Combines strong European B2B execution with native Mandarin fluency and proven success leading APAC/China go-to-market strategies for global manufacturing and industrial leaders.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